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C1A57" w14:textId="77777777" w:rsidR="00094222" w:rsidRDefault="00094222" w:rsidP="00094222">
      <w:pPr>
        <w:spacing w:line="360" w:lineRule="auto"/>
        <w:rPr>
          <w:rFonts w:ascii="標楷體" w:eastAsia="標楷體" w:hAnsi="標楷體" w:cs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</w:rPr>
        <w:t>附件四</w:t>
      </w:r>
    </w:p>
    <w:p w14:paraId="6E5B633B" w14:textId="77777777" w:rsidR="00094222" w:rsidRPr="00957740" w:rsidRDefault="00094222" w:rsidP="00094222">
      <w:pPr>
        <w:spacing w:line="360" w:lineRule="auto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957740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各領域核心概念與學習內容清單</w:t>
      </w:r>
    </w:p>
    <w:p w14:paraId="42FAB04A" w14:textId="12291BB6" w:rsidR="00094222" w:rsidRPr="00491566" w:rsidRDefault="00094222" w:rsidP="0049156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96"/>
          <w:tab w:val="center" w:pos="5102"/>
        </w:tabs>
        <w:spacing w:before="240" w:after="240"/>
        <w:rPr>
          <w:rFonts w:ascii="標楷體" w:eastAsia="標楷體" w:hAnsi="標楷體" w:cs="標楷體"/>
          <w:b/>
          <w:color w:val="FF0000"/>
          <w:sz w:val="28"/>
          <w:szCs w:val="28"/>
        </w:rPr>
      </w:pPr>
      <w:r>
        <w:rPr>
          <w:rFonts w:ascii="標楷體" w:eastAsia="標楷體" w:hAnsi="標楷體" w:cs="標楷體"/>
          <w:b/>
          <w:color w:val="FF0000"/>
          <w:sz w:val="28"/>
          <w:szCs w:val="28"/>
        </w:rPr>
        <w:t>選擇下表的核心概念，</w:t>
      </w:r>
      <w:r w:rsidR="00491566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填入報名表欄位，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決定自己欲拍攝的學習內容(可查詢</w:t>
      </w:r>
      <w:r w:rsidR="00491566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附件中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11</w:t>
      </w:r>
      <w:r w:rsidR="004D1F87">
        <w:rPr>
          <w:rFonts w:ascii="標楷體" w:eastAsia="標楷體" w:hAnsi="標楷體" w:cs="標楷體"/>
          <w:b/>
          <w:color w:val="FF0000"/>
          <w:sz w:val="28"/>
          <w:szCs w:val="28"/>
        </w:rPr>
        <w:t>1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核心概念影片建置</w:t>
      </w:r>
      <w:proofErr w:type="gramStart"/>
      <w:r>
        <w:rPr>
          <w:rFonts w:ascii="標楷體" w:eastAsia="標楷體" w:hAnsi="標楷體" w:cs="標楷體"/>
          <w:b/>
          <w:color w:val="FF0000"/>
          <w:sz w:val="28"/>
          <w:szCs w:val="28"/>
        </w:rPr>
        <w:t>規</w:t>
      </w:r>
      <w:proofErr w:type="gramEnd"/>
      <w:r>
        <w:rPr>
          <w:rFonts w:ascii="標楷體" w:eastAsia="標楷體" w:hAnsi="標楷體" w:cs="標楷體"/>
          <w:b/>
          <w:color w:val="FF0000"/>
          <w:sz w:val="28"/>
          <w:szCs w:val="28"/>
        </w:rPr>
        <w:t>畫表Excel檔，確認</w:t>
      </w:r>
      <w:r w:rsidR="00491566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拍攝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主題是否有重複)</w:t>
      </w:r>
      <w:bookmarkStart w:id="1" w:name="_heading=h.30j0zll" w:colFirst="0" w:colLast="0"/>
      <w:bookmarkEnd w:id="1"/>
    </w:p>
    <w:p w14:paraId="2649E96A" w14:textId="77777777" w:rsidR="00094222" w:rsidRDefault="00094222" w:rsidP="00094222">
      <w:pPr>
        <w:widowControl/>
        <w:tabs>
          <w:tab w:val="left" w:pos="396"/>
          <w:tab w:val="center" w:pos="5102"/>
        </w:tabs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【國文領域】</w:t>
      </w:r>
    </w:p>
    <w:tbl>
      <w:tblPr>
        <w:tblStyle w:val="af9"/>
        <w:tblW w:w="10364" w:type="dxa"/>
        <w:tblInd w:w="-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2419"/>
        <w:gridCol w:w="7230"/>
      </w:tblGrid>
      <w:tr w:rsidR="00094222" w14:paraId="6893AB68" w14:textId="77777777" w:rsidTr="00017E29">
        <w:trPr>
          <w:trHeight w:val="70"/>
        </w:trPr>
        <w:tc>
          <w:tcPr>
            <w:tcW w:w="715" w:type="dxa"/>
            <w:shd w:val="clear" w:color="auto" w:fill="F2F2F2"/>
            <w:vAlign w:val="center"/>
          </w:tcPr>
          <w:p w14:paraId="7C8C5BE0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2419" w:type="dxa"/>
            <w:shd w:val="clear" w:color="auto" w:fill="F2F2F2"/>
            <w:vAlign w:val="center"/>
          </w:tcPr>
          <w:p w14:paraId="2FAD8E72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核心概念</w:t>
            </w:r>
          </w:p>
        </w:tc>
        <w:tc>
          <w:tcPr>
            <w:tcW w:w="7230" w:type="dxa"/>
            <w:shd w:val="clear" w:color="auto" w:fill="F2F2F2"/>
            <w:vAlign w:val="center"/>
          </w:tcPr>
          <w:p w14:paraId="303E7EC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</w:tr>
      <w:tr w:rsidR="00094222" w14:paraId="31EC943A" w14:textId="77777777" w:rsidTr="00017E29">
        <w:trPr>
          <w:trHeight w:val="226"/>
        </w:trPr>
        <w:tc>
          <w:tcPr>
            <w:tcW w:w="715" w:type="dxa"/>
            <w:vAlign w:val="center"/>
          </w:tcPr>
          <w:p w14:paraId="04239751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419" w:type="dxa"/>
            <w:vAlign w:val="center"/>
          </w:tcPr>
          <w:p w14:paraId="6470AC6E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文字篇章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</w:rPr>
              <w:t>字詞</w:t>
            </w:r>
          </w:p>
        </w:tc>
        <w:tc>
          <w:tcPr>
            <w:tcW w:w="7230" w:type="dxa"/>
            <w:vAlign w:val="center"/>
          </w:tcPr>
          <w:p w14:paraId="5193E608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字形、字音、字義、六書、書法碑帖</w:t>
            </w:r>
          </w:p>
        </w:tc>
      </w:tr>
      <w:tr w:rsidR="00094222" w14:paraId="73784C9A" w14:textId="77777777" w:rsidTr="00017E29">
        <w:trPr>
          <w:trHeight w:val="307"/>
        </w:trPr>
        <w:tc>
          <w:tcPr>
            <w:tcW w:w="715" w:type="dxa"/>
            <w:vAlign w:val="center"/>
          </w:tcPr>
          <w:p w14:paraId="5BFF4E4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419" w:type="dxa"/>
            <w:vAlign w:val="center"/>
          </w:tcPr>
          <w:p w14:paraId="6C6C1359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文字篇章</w:t>
            </w:r>
            <w:proofErr w:type="gramStart"/>
            <w:r>
              <w:rPr>
                <w:rFonts w:ascii="標楷體" w:eastAsia="標楷體" w:hAnsi="標楷體" w:cs="標楷體"/>
              </w:rPr>
              <w:t>─句段</w:t>
            </w:r>
            <w:proofErr w:type="gramEnd"/>
          </w:p>
        </w:tc>
        <w:tc>
          <w:tcPr>
            <w:tcW w:w="7230" w:type="dxa"/>
            <w:vAlign w:val="center"/>
          </w:tcPr>
          <w:p w14:paraId="092F37B2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標點符號、句型、文句邏輯與意義</w:t>
            </w:r>
          </w:p>
        </w:tc>
      </w:tr>
      <w:tr w:rsidR="00094222" w14:paraId="22DEFDA8" w14:textId="77777777" w:rsidTr="00017E29">
        <w:trPr>
          <w:trHeight w:val="318"/>
        </w:trPr>
        <w:tc>
          <w:tcPr>
            <w:tcW w:w="715" w:type="dxa"/>
            <w:vAlign w:val="center"/>
          </w:tcPr>
          <w:p w14:paraId="691F9ED6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419" w:type="dxa"/>
            <w:vAlign w:val="center"/>
          </w:tcPr>
          <w:p w14:paraId="7D1D7159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文字篇章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</w:rPr>
              <w:t>篇章</w:t>
            </w:r>
          </w:p>
        </w:tc>
        <w:tc>
          <w:tcPr>
            <w:tcW w:w="7230" w:type="dxa"/>
            <w:vAlign w:val="center"/>
          </w:tcPr>
          <w:p w14:paraId="6D925BF7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篇章主旨、結構、寓意</w:t>
            </w:r>
          </w:p>
        </w:tc>
      </w:tr>
      <w:tr w:rsidR="00094222" w14:paraId="3F4E503A" w14:textId="77777777" w:rsidTr="00017E29">
        <w:trPr>
          <w:trHeight w:val="307"/>
        </w:trPr>
        <w:tc>
          <w:tcPr>
            <w:tcW w:w="715" w:type="dxa"/>
            <w:vAlign w:val="center"/>
          </w:tcPr>
          <w:p w14:paraId="5FB5D14C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2419" w:type="dxa"/>
            <w:vAlign w:val="center"/>
          </w:tcPr>
          <w:p w14:paraId="5D2B4472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文字篇章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</w:rPr>
              <w:t>文體</w:t>
            </w:r>
          </w:p>
        </w:tc>
        <w:tc>
          <w:tcPr>
            <w:tcW w:w="7230" w:type="dxa"/>
            <w:vAlign w:val="center"/>
          </w:tcPr>
          <w:p w14:paraId="5FEDC292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白話、文言(韻文、非韻文)</w:t>
            </w:r>
          </w:p>
        </w:tc>
      </w:tr>
      <w:tr w:rsidR="00094222" w14:paraId="5E671312" w14:textId="77777777" w:rsidTr="00017E29">
        <w:trPr>
          <w:trHeight w:val="626"/>
        </w:trPr>
        <w:tc>
          <w:tcPr>
            <w:tcW w:w="715" w:type="dxa"/>
            <w:vAlign w:val="center"/>
          </w:tcPr>
          <w:p w14:paraId="3A689E35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419" w:type="dxa"/>
            <w:vAlign w:val="center"/>
          </w:tcPr>
          <w:p w14:paraId="5A8A28A0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文本表述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</w:rPr>
              <w:t>記敘文本</w:t>
            </w:r>
          </w:p>
        </w:tc>
        <w:tc>
          <w:tcPr>
            <w:tcW w:w="7230" w:type="dxa"/>
            <w:vAlign w:val="center"/>
          </w:tcPr>
          <w:p w14:paraId="01456602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順敘</w:t>
            </w:r>
            <w:proofErr w:type="gramEnd"/>
            <w:r>
              <w:rPr>
                <w:rFonts w:ascii="標楷體" w:eastAsia="標楷體" w:hAnsi="標楷體" w:cs="標楷體"/>
              </w:rPr>
              <w:t>、倒敘、插敘、</w:t>
            </w:r>
            <w:proofErr w:type="gramStart"/>
            <w:r>
              <w:rPr>
                <w:rFonts w:ascii="標楷體" w:eastAsia="標楷體" w:hAnsi="標楷體" w:cs="標楷體"/>
              </w:rPr>
              <w:t>補敘</w:t>
            </w:r>
            <w:proofErr w:type="gramEnd"/>
            <w:r>
              <w:rPr>
                <w:rFonts w:ascii="標楷體" w:eastAsia="標楷體" w:hAnsi="標楷體" w:cs="標楷體"/>
              </w:rPr>
              <w:t>、描寫法</w:t>
            </w:r>
          </w:p>
        </w:tc>
      </w:tr>
      <w:tr w:rsidR="00094222" w14:paraId="0099CB69" w14:textId="77777777" w:rsidTr="00017E29">
        <w:trPr>
          <w:trHeight w:val="637"/>
        </w:trPr>
        <w:tc>
          <w:tcPr>
            <w:tcW w:w="715" w:type="dxa"/>
            <w:vAlign w:val="center"/>
          </w:tcPr>
          <w:p w14:paraId="33538A29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2419" w:type="dxa"/>
            <w:vAlign w:val="center"/>
          </w:tcPr>
          <w:p w14:paraId="26E80610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文本表述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</w:rPr>
              <w:t>抒情文本</w:t>
            </w:r>
          </w:p>
        </w:tc>
        <w:tc>
          <w:tcPr>
            <w:tcW w:w="7230" w:type="dxa"/>
            <w:vAlign w:val="center"/>
          </w:tcPr>
          <w:p w14:paraId="2E3D4C03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直接抒情、間接抒情、人我交流、社會體悟、自然生命感悟</w:t>
            </w:r>
          </w:p>
        </w:tc>
      </w:tr>
      <w:tr w:rsidR="00094222" w14:paraId="3DA0FFC4" w14:textId="77777777" w:rsidTr="00017E29">
        <w:trPr>
          <w:trHeight w:val="626"/>
        </w:trPr>
        <w:tc>
          <w:tcPr>
            <w:tcW w:w="715" w:type="dxa"/>
            <w:vAlign w:val="center"/>
          </w:tcPr>
          <w:p w14:paraId="271D3717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2419" w:type="dxa"/>
            <w:vAlign w:val="center"/>
          </w:tcPr>
          <w:p w14:paraId="26D72CD3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文本表述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</w:rPr>
              <w:t>說明文本</w:t>
            </w:r>
          </w:p>
        </w:tc>
        <w:tc>
          <w:tcPr>
            <w:tcW w:w="7230" w:type="dxa"/>
            <w:vAlign w:val="center"/>
          </w:tcPr>
          <w:p w14:paraId="27DF53DD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客觀理性說明、因果對比寫作手法、數據圖表輔助說明</w:t>
            </w:r>
          </w:p>
        </w:tc>
      </w:tr>
      <w:tr w:rsidR="00094222" w14:paraId="2B514EF4" w14:textId="77777777" w:rsidTr="00017E29">
        <w:trPr>
          <w:trHeight w:val="626"/>
        </w:trPr>
        <w:tc>
          <w:tcPr>
            <w:tcW w:w="715" w:type="dxa"/>
            <w:vAlign w:val="center"/>
          </w:tcPr>
          <w:p w14:paraId="6480E66B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2419" w:type="dxa"/>
            <w:vAlign w:val="center"/>
          </w:tcPr>
          <w:p w14:paraId="401481B8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文本表述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</w:rPr>
              <w:t>議論文本</w:t>
            </w:r>
          </w:p>
        </w:tc>
        <w:tc>
          <w:tcPr>
            <w:tcW w:w="7230" w:type="dxa"/>
            <w:vAlign w:val="center"/>
          </w:tcPr>
          <w:p w14:paraId="6DC14A6E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論據、論證</w:t>
            </w:r>
          </w:p>
        </w:tc>
      </w:tr>
      <w:tr w:rsidR="00094222" w14:paraId="435A4D15" w14:textId="77777777" w:rsidTr="00017E29">
        <w:trPr>
          <w:trHeight w:val="626"/>
        </w:trPr>
        <w:tc>
          <w:tcPr>
            <w:tcW w:w="715" w:type="dxa"/>
            <w:vAlign w:val="center"/>
          </w:tcPr>
          <w:p w14:paraId="694EBD2E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2419" w:type="dxa"/>
            <w:vAlign w:val="center"/>
          </w:tcPr>
          <w:p w14:paraId="0CBC860D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文本表述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</w:rPr>
              <w:t>應用文本</w:t>
            </w:r>
          </w:p>
        </w:tc>
        <w:tc>
          <w:tcPr>
            <w:tcW w:w="7230" w:type="dxa"/>
            <w:vAlign w:val="center"/>
          </w:tcPr>
          <w:p w14:paraId="376F4942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生活應用方面、人際溝通方面、學習應用方面（自傳、書信、便條、對聯、簡報）</w:t>
            </w:r>
          </w:p>
        </w:tc>
      </w:tr>
      <w:tr w:rsidR="00094222" w14:paraId="549FF39F" w14:textId="77777777" w:rsidTr="00017E29">
        <w:trPr>
          <w:trHeight w:val="318"/>
        </w:trPr>
        <w:tc>
          <w:tcPr>
            <w:tcW w:w="715" w:type="dxa"/>
            <w:vAlign w:val="center"/>
          </w:tcPr>
          <w:p w14:paraId="7A4BEBE0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2419" w:type="dxa"/>
            <w:vAlign w:val="center"/>
          </w:tcPr>
          <w:p w14:paraId="4DA4FAFE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閱讀理解</w:t>
            </w:r>
          </w:p>
        </w:tc>
        <w:tc>
          <w:tcPr>
            <w:tcW w:w="7230" w:type="dxa"/>
            <w:vAlign w:val="center"/>
          </w:tcPr>
          <w:p w14:paraId="4D3DBD9C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14:paraId="165BA1FC" w14:textId="77777777" w:rsidTr="00017E29">
        <w:trPr>
          <w:trHeight w:val="307"/>
        </w:trPr>
        <w:tc>
          <w:tcPr>
            <w:tcW w:w="715" w:type="dxa"/>
            <w:vAlign w:val="center"/>
          </w:tcPr>
          <w:p w14:paraId="1751EE76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2419" w:type="dxa"/>
            <w:vAlign w:val="center"/>
          </w:tcPr>
          <w:p w14:paraId="3D35D439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寫作策略</w:t>
            </w:r>
          </w:p>
        </w:tc>
        <w:tc>
          <w:tcPr>
            <w:tcW w:w="7230" w:type="dxa"/>
            <w:vAlign w:val="center"/>
          </w:tcPr>
          <w:p w14:paraId="551B60C1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</w:tbl>
    <w:p w14:paraId="5461FA2A" w14:textId="77777777"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14:paraId="4DC7113F" w14:textId="77777777"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【英文領域】</w:t>
      </w:r>
    </w:p>
    <w:tbl>
      <w:tblPr>
        <w:tblStyle w:val="afa"/>
        <w:tblW w:w="10201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116"/>
      </w:tblGrid>
      <w:tr w:rsidR="00094222" w14:paraId="7E14B4F5" w14:textId="77777777" w:rsidTr="00017E29">
        <w:trPr>
          <w:trHeight w:val="70"/>
        </w:trPr>
        <w:tc>
          <w:tcPr>
            <w:tcW w:w="704" w:type="dxa"/>
            <w:shd w:val="clear" w:color="auto" w:fill="F2F2F2"/>
            <w:vAlign w:val="center"/>
          </w:tcPr>
          <w:p w14:paraId="68ED7E9E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2381" w:type="dxa"/>
            <w:shd w:val="clear" w:color="auto" w:fill="F2F2F2"/>
            <w:vAlign w:val="center"/>
          </w:tcPr>
          <w:p w14:paraId="7A1F6057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核心概念</w:t>
            </w:r>
          </w:p>
        </w:tc>
        <w:tc>
          <w:tcPr>
            <w:tcW w:w="7116" w:type="dxa"/>
            <w:shd w:val="clear" w:color="auto" w:fill="F2F2F2"/>
            <w:vAlign w:val="center"/>
          </w:tcPr>
          <w:p w14:paraId="20BFEDDB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</w:tr>
      <w:tr w:rsidR="00094222" w14:paraId="64A341E7" w14:textId="77777777" w:rsidTr="00017E29">
        <w:trPr>
          <w:trHeight w:val="225"/>
        </w:trPr>
        <w:tc>
          <w:tcPr>
            <w:tcW w:w="704" w:type="dxa"/>
            <w:vAlign w:val="center"/>
          </w:tcPr>
          <w:p w14:paraId="7B6F295D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381" w:type="dxa"/>
            <w:vAlign w:val="center"/>
          </w:tcPr>
          <w:p w14:paraId="7292D97B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語言知識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</w:rPr>
              <w:t>字母</w:t>
            </w:r>
          </w:p>
        </w:tc>
        <w:tc>
          <w:tcPr>
            <w:tcW w:w="7116" w:type="dxa"/>
            <w:vAlign w:val="center"/>
          </w:tcPr>
          <w:p w14:paraId="06AE37E7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連續體大小寫字母</w:t>
            </w:r>
          </w:p>
        </w:tc>
      </w:tr>
      <w:tr w:rsidR="00094222" w14:paraId="148C8880" w14:textId="77777777" w:rsidTr="00017E29">
        <w:tc>
          <w:tcPr>
            <w:tcW w:w="704" w:type="dxa"/>
            <w:vAlign w:val="center"/>
          </w:tcPr>
          <w:p w14:paraId="66242278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381" w:type="dxa"/>
            <w:vAlign w:val="center"/>
          </w:tcPr>
          <w:p w14:paraId="134B307C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語言知識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</w:rPr>
              <w:t>語音</w:t>
            </w:r>
          </w:p>
        </w:tc>
        <w:tc>
          <w:tcPr>
            <w:tcW w:w="7116" w:type="dxa"/>
            <w:vAlign w:val="center"/>
          </w:tcPr>
          <w:p w14:paraId="468FC52F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句子的發音、重音及語調，歌謠、韻文的節奏，</w:t>
            </w:r>
            <w:proofErr w:type="gramStart"/>
            <w:r>
              <w:rPr>
                <w:rFonts w:ascii="標楷體" w:eastAsia="標楷體" w:hAnsi="標楷體" w:cs="標楷體"/>
              </w:rPr>
              <w:t>字母拼讀規則</w:t>
            </w:r>
            <w:proofErr w:type="gramEnd"/>
          </w:p>
        </w:tc>
      </w:tr>
      <w:tr w:rsidR="00094222" w14:paraId="78853C1E" w14:textId="77777777" w:rsidTr="00017E29">
        <w:tc>
          <w:tcPr>
            <w:tcW w:w="704" w:type="dxa"/>
            <w:vAlign w:val="center"/>
          </w:tcPr>
          <w:p w14:paraId="6E5D439B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381" w:type="dxa"/>
            <w:vAlign w:val="center"/>
          </w:tcPr>
          <w:p w14:paraId="0AF7787D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語言知識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</w:rPr>
              <w:t>字詞</w:t>
            </w:r>
          </w:p>
        </w:tc>
        <w:tc>
          <w:tcPr>
            <w:tcW w:w="7116" w:type="dxa"/>
            <w:vAlign w:val="center"/>
          </w:tcPr>
          <w:p w14:paraId="52D60B88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教室用語、生活用語、1,200字詞</w:t>
            </w:r>
          </w:p>
        </w:tc>
      </w:tr>
      <w:tr w:rsidR="00094222" w14:paraId="02E3A740" w14:textId="77777777" w:rsidTr="00017E29">
        <w:tc>
          <w:tcPr>
            <w:tcW w:w="704" w:type="dxa"/>
            <w:vAlign w:val="center"/>
          </w:tcPr>
          <w:p w14:paraId="2A603154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2381" w:type="dxa"/>
            <w:vAlign w:val="center"/>
          </w:tcPr>
          <w:p w14:paraId="475122AE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語言知識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</w:rPr>
              <w:t>句構</w:t>
            </w:r>
          </w:p>
        </w:tc>
        <w:tc>
          <w:tcPr>
            <w:tcW w:w="7116" w:type="dxa"/>
            <w:vAlign w:val="center"/>
          </w:tcPr>
          <w:p w14:paraId="0EAC4BC6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文法句型</w:t>
            </w:r>
          </w:p>
        </w:tc>
      </w:tr>
      <w:tr w:rsidR="00094222" w14:paraId="637A3771" w14:textId="77777777" w:rsidTr="00017E29">
        <w:tc>
          <w:tcPr>
            <w:tcW w:w="704" w:type="dxa"/>
            <w:vAlign w:val="center"/>
          </w:tcPr>
          <w:p w14:paraId="7293FE31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381" w:type="dxa"/>
            <w:vAlign w:val="center"/>
          </w:tcPr>
          <w:p w14:paraId="328B83A2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語言知識</w:t>
            </w:r>
            <w:proofErr w:type="gramStart"/>
            <w:r>
              <w:rPr>
                <w:rFonts w:ascii="標楷體" w:eastAsia="標楷體" w:hAnsi="標楷體" w:cs="標楷體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</w:rPr>
              <w:t>篇章</w:t>
            </w:r>
          </w:p>
        </w:tc>
        <w:tc>
          <w:tcPr>
            <w:tcW w:w="7116" w:type="dxa"/>
            <w:vAlign w:val="center"/>
          </w:tcPr>
          <w:p w14:paraId="2D45A290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歌謠、韻文、短文（大意）、故事（背景、人物、事件、結局）、短劇、圖表、公共廣播、書信、不同體裁或文體比較</w:t>
            </w:r>
          </w:p>
        </w:tc>
      </w:tr>
      <w:tr w:rsidR="00094222" w14:paraId="04754C41" w14:textId="77777777" w:rsidTr="00017E29">
        <w:tc>
          <w:tcPr>
            <w:tcW w:w="704" w:type="dxa"/>
            <w:vAlign w:val="center"/>
          </w:tcPr>
          <w:p w14:paraId="62ADCEAD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2381" w:type="dxa"/>
            <w:vAlign w:val="center"/>
          </w:tcPr>
          <w:p w14:paraId="40DEC0E1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溝通功能</w:t>
            </w:r>
          </w:p>
        </w:tc>
        <w:tc>
          <w:tcPr>
            <w:tcW w:w="7116" w:type="dxa"/>
            <w:vAlign w:val="center"/>
          </w:tcPr>
          <w:p w14:paraId="3C9A3F25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生活溝通、自己和他人的描述、感受的表達、圖片描述、角色扮演、引導式討論</w:t>
            </w:r>
          </w:p>
        </w:tc>
      </w:tr>
      <w:tr w:rsidR="00094222" w14:paraId="4075E009" w14:textId="77777777" w:rsidTr="00017E29">
        <w:tc>
          <w:tcPr>
            <w:tcW w:w="704" w:type="dxa"/>
            <w:vAlign w:val="center"/>
          </w:tcPr>
          <w:p w14:paraId="22FB1CFA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2381" w:type="dxa"/>
            <w:vAlign w:val="center"/>
          </w:tcPr>
          <w:p w14:paraId="1693619D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文化與習俗</w:t>
            </w:r>
          </w:p>
        </w:tc>
        <w:tc>
          <w:tcPr>
            <w:tcW w:w="7116" w:type="dxa"/>
            <w:vAlign w:val="center"/>
          </w:tcPr>
          <w:p w14:paraId="2F147FC1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國內外節慶、風俗、世界觀、禮儀</w:t>
            </w:r>
          </w:p>
        </w:tc>
      </w:tr>
      <w:tr w:rsidR="00094222" w14:paraId="150D8CFE" w14:textId="77777777" w:rsidTr="00017E29">
        <w:tc>
          <w:tcPr>
            <w:tcW w:w="704" w:type="dxa"/>
            <w:vAlign w:val="center"/>
          </w:tcPr>
          <w:p w14:paraId="052099B5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8</w:t>
            </w:r>
          </w:p>
        </w:tc>
        <w:tc>
          <w:tcPr>
            <w:tcW w:w="2381" w:type="dxa"/>
            <w:vAlign w:val="center"/>
          </w:tcPr>
          <w:p w14:paraId="4EB55F76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思考能力</w:t>
            </w:r>
          </w:p>
        </w:tc>
        <w:tc>
          <w:tcPr>
            <w:tcW w:w="7116" w:type="dxa"/>
            <w:vAlign w:val="center"/>
          </w:tcPr>
          <w:p w14:paraId="1F1C203D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綜合資料推測，訊息比較、歸類、排序，因果關係</w:t>
            </w:r>
            <w:proofErr w:type="gramStart"/>
            <w:r>
              <w:rPr>
                <w:rFonts w:ascii="標楷體" w:eastAsia="標楷體" w:hAnsi="標楷體" w:cs="標楷體"/>
              </w:rPr>
              <w:t>釐</w:t>
            </w:r>
            <w:proofErr w:type="gramEnd"/>
            <w:r>
              <w:rPr>
                <w:rFonts w:ascii="標楷體" w:eastAsia="標楷體" w:hAnsi="標楷體" w:cs="標楷體"/>
              </w:rPr>
              <w:t>清，客觀事實和主觀意見的分辨</w:t>
            </w:r>
          </w:p>
        </w:tc>
      </w:tr>
      <w:tr w:rsidR="00094222" w14:paraId="2A6553F0" w14:textId="77777777" w:rsidTr="00017E29">
        <w:tc>
          <w:tcPr>
            <w:tcW w:w="704" w:type="dxa"/>
            <w:vAlign w:val="center"/>
          </w:tcPr>
          <w:p w14:paraId="43E6B507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2381" w:type="dxa"/>
            <w:vAlign w:val="center"/>
          </w:tcPr>
          <w:p w14:paraId="04BBB5B2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閱讀理解</w:t>
            </w:r>
          </w:p>
        </w:tc>
        <w:tc>
          <w:tcPr>
            <w:tcW w:w="7116" w:type="dxa"/>
            <w:vAlign w:val="center"/>
          </w:tcPr>
          <w:p w14:paraId="30363393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14:paraId="7C8B5E50" w14:textId="77777777" w:rsidTr="00017E29">
        <w:tc>
          <w:tcPr>
            <w:tcW w:w="704" w:type="dxa"/>
            <w:vAlign w:val="center"/>
          </w:tcPr>
          <w:p w14:paraId="0C51E73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2381" w:type="dxa"/>
            <w:vAlign w:val="center"/>
          </w:tcPr>
          <w:p w14:paraId="3D21132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寫作策略</w:t>
            </w:r>
          </w:p>
        </w:tc>
        <w:tc>
          <w:tcPr>
            <w:tcW w:w="7116" w:type="dxa"/>
            <w:vAlign w:val="center"/>
          </w:tcPr>
          <w:p w14:paraId="38E9CDDD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</w:tbl>
    <w:p w14:paraId="09AE2AC3" w14:textId="77777777" w:rsidR="00094222" w:rsidRDefault="00094222" w:rsidP="00094222">
      <w:pPr>
        <w:widowControl/>
        <w:spacing w:before="240" w:after="240"/>
        <w:rPr>
          <w:rFonts w:ascii="標楷體" w:eastAsia="標楷體" w:hAnsi="標楷體" w:cs="標楷體"/>
          <w:b/>
          <w:sz w:val="32"/>
          <w:szCs w:val="32"/>
        </w:rPr>
      </w:pPr>
    </w:p>
    <w:p w14:paraId="79AB2C84" w14:textId="77777777"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【數學領域】</w:t>
      </w:r>
    </w:p>
    <w:tbl>
      <w:tblPr>
        <w:tblStyle w:val="afb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977"/>
        <w:gridCol w:w="5670"/>
      </w:tblGrid>
      <w:tr w:rsidR="00094222" w14:paraId="1CD058C1" w14:textId="77777777" w:rsidTr="00017E29">
        <w:trPr>
          <w:trHeight w:val="70"/>
        </w:trPr>
        <w:tc>
          <w:tcPr>
            <w:tcW w:w="704" w:type="dxa"/>
            <w:shd w:val="clear" w:color="auto" w:fill="F2F2F2"/>
            <w:vAlign w:val="center"/>
          </w:tcPr>
          <w:p w14:paraId="36D7AE34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0B42CA40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核心概念</w:t>
            </w:r>
          </w:p>
        </w:tc>
        <w:tc>
          <w:tcPr>
            <w:tcW w:w="5670" w:type="dxa"/>
            <w:shd w:val="clear" w:color="auto" w:fill="F2F2F2"/>
            <w:vAlign w:val="center"/>
          </w:tcPr>
          <w:p w14:paraId="1C55A60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</w:tr>
      <w:tr w:rsidR="00094222" w14:paraId="6AA9C71B" w14:textId="77777777" w:rsidTr="00017E29">
        <w:trPr>
          <w:trHeight w:val="584"/>
        </w:trPr>
        <w:tc>
          <w:tcPr>
            <w:tcW w:w="704" w:type="dxa"/>
            <w:vAlign w:val="center"/>
          </w:tcPr>
          <w:p w14:paraId="7FE9ACA4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977" w:type="dxa"/>
            <w:vAlign w:val="center"/>
          </w:tcPr>
          <w:p w14:paraId="42910930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整數</w:t>
            </w:r>
            <w:proofErr w:type="gramStart"/>
            <w:r>
              <w:rPr>
                <w:rFonts w:ascii="標楷體" w:eastAsia="標楷體" w:hAnsi="標楷體" w:cs="標楷體"/>
              </w:rPr>
              <w:t>與數線</w:t>
            </w:r>
            <w:proofErr w:type="gramEnd"/>
          </w:p>
        </w:tc>
        <w:tc>
          <w:tcPr>
            <w:tcW w:w="5670" w:type="dxa"/>
            <w:vMerge w:val="restart"/>
            <w:vAlign w:val="center"/>
          </w:tcPr>
          <w:p w14:paraId="511A48C8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100以內的質數</w:t>
            </w:r>
          </w:p>
          <w:p w14:paraId="78671265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質因數分解的標準分解式</w:t>
            </w:r>
          </w:p>
          <w:p w14:paraId="2539A28E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負數與數的四則混合運(</w:t>
            </w:r>
            <w:proofErr w:type="gramStart"/>
            <w:r>
              <w:rPr>
                <w:rFonts w:ascii="標楷體" w:eastAsia="標楷體" w:hAnsi="標楷體" w:cs="標楷體"/>
              </w:rPr>
              <w:t>算含分數</w:t>
            </w:r>
            <w:proofErr w:type="gramEnd"/>
            <w:r>
              <w:rPr>
                <w:rFonts w:ascii="標楷體" w:eastAsia="標楷體" w:hAnsi="標楷體" w:cs="標楷體"/>
              </w:rPr>
              <w:t>、小數)</w:t>
            </w:r>
          </w:p>
          <w:p w14:paraId="2F1DF0C9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數的運算規律</w:t>
            </w:r>
          </w:p>
          <w:p w14:paraId="2AAB28A3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數線</w:t>
            </w:r>
          </w:p>
          <w:p w14:paraId="0342B1FC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指數的意義</w:t>
            </w:r>
          </w:p>
          <w:p w14:paraId="30B2CFF0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指數律</w:t>
            </w:r>
          </w:p>
          <w:p w14:paraId="56DFF74A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科學記號</w:t>
            </w:r>
          </w:p>
          <w:p w14:paraId="691EBF33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比與比例式</w:t>
            </w:r>
          </w:p>
          <w:p w14:paraId="5B9A0841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簡單圖形與幾何符號</w:t>
            </w:r>
          </w:p>
          <w:p w14:paraId="3F3B81B3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</w:rPr>
              <w:t>視圖</w:t>
            </w:r>
          </w:p>
          <w:p w14:paraId="68EB92EE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垂直</w:t>
            </w:r>
          </w:p>
          <w:p w14:paraId="3070ABAC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線對稱的性質</w:t>
            </w:r>
          </w:p>
          <w:p w14:paraId="6D76BEF2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線對稱的基本圖形</w:t>
            </w:r>
          </w:p>
          <w:p w14:paraId="7F884578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平面直角坐標系</w:t>
            </w:r>
          </w:p>
          <w:p w14:paraId="29DDFAAA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代數符號</w:t>
            </w:r>
          </w:p>
          <w:p w14:paraId="43E61F27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一元一次方程式的意義</w:t>
            </w:r>
          </w:p>
          <w:p w14:paraId="6E45FB60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一元一次方程式的解法與應用</w:t>
            </w:r>
          </w:p>
          <w:p w14:paraId="0DC97469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二元一次</w:t>
            </w:r>
            <w:proofErr w:type="gramStart"/>
            <w:r>
              <w:rPr>
                <w:rFonts w:ascii="標楷體" w:eastAsia="標楷體" w:hAnsi="標楷體" w:cs="標楷體"/>
              </w:rPr>
              <w:t>聯立方程式的意義</w:t>
            </w:r>
            <w:proofErr w:type="gramEnd"/>
          </w:p>
          <w:p w14:paraId="04838E3B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二元一次</w:t>
            </w:r>
            <w:proofErr w:type="gramStart"/>
            <w:r>
              <w:rPr>
                <w:rFonts w:ascii="標楷體" w:eastAsia="標楷體" w:hAnsi="標楷體" w:cs="標楷體"/>
              </w:rPr>
              <w:t>聯立方程式的解法</w:t>
            </w:r>
            <w:proofErr w:type="gramEnd"/>
            <w:r>
              <w:rPr>
                <w:rFonts w:ascii="標楷體" w:eastAsia="標楷體" w:hAnsi="標楷體" w:cs="標楷體"/>
              </w:rPr>
              <w:t>與應用</w:t>
            </w:r>
          </w:p>
          <w:p w14:paraId="45F415BF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統計圖表</w:t>
            </w:r>
          </w:p>
          <w:p w14:paraId="3FF30F96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統計數據</w:t>
            </w:r>
          </w:p>
        </w:tc>
      </w:tr>
      <w:tr w:rsidR="00094222" w14:paraId="7D60B7FB" w14:textId="77777777" w:rsidTr="00017E29">
        <w:trPr>
          <w:trHeight w:val="871"/>
        </w:trPr>
        <w:tc>
          <w:tcPr>
            <w:tcW w:w="704" w:type="dxa"/>
            <w:vAlign w:val="center"/>
          </w:tcPr>
          <w:p w14:paraId="0E4839F1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977" w:type="dxa"/>
            <w:vAlign w:val="center"/>
          </w:tcPr>
          <w:p w14:paraId="03E391F2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標準</w:t>
            </w:r>
            <w:proofErr w:type="gramStart"/>
            <w:r>
              <w:rPr>
                <w:rFonts w:ascii="標楷體" w:eastAsia="標楷體" w:hAnsi="標楷體" w:cs="標楷體"/>
              </w:rPr>
              <w:t>分解式與分數</w:t>
            </w:r>
            <w:proofErr w:type="gramEnd"/>
            <w:r>
              <w:rPr>
                <w:rFonts w:ascii="標楷體" w:eastAsia="標楷體" w:hAnsi="標楷體" w:cs="標楷體"/>
              </w:rPr>
              <w:t>運算</w:t>
            </w:r>
          </w:p>
        </w:tc>
        <w:tc>
          <w:tcPr>
            <w:tcW w:w="5670" w:type="dxa"/>
            <w:vMerge/>
            <w:vAlign w:val="center"/>
          </w:tcPr>
          <w:p w14:paraId="4C6297A7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14:paraId="7FBDA861" w14:textId="77777777" w:rsidTr="00017E29">
        <w:trPr>
          <w:trHeight w:val="871"/>
        </w:trPr>
        <w:tc>
          <w:tcPr>
            <w:tcW w:w="704" w:type="dxa"/>
            <w:vAlign w:val="center"/>
          </w:tcPr>
          <w:p w14:paraId="027F21FB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977" w:type="dxa"/>
            <w:vAlign w:val="center"/>
          </w:tcPr>
          <w:p w14:paraId="62474F28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一元一次方程式</w:t>
            </w:r>
          </w:p>
        </w:tc>
        <w:tc>
          <w:tcPr>
            <w:tcW w:w="5670" w:type="dxa"/>
            <w:vMerge/>
            <w:vAlign w:val="center"/>
          </w:tcPr>
          <w:p w14:paraId="64B49B7B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14:paraId="3777A103" w14:textId="77777777" w:rsidTr="00017E29">
        <w:trPr>
          <w:trHeight w:val="871"/>
        </w:trPr>
        <w:tc>
          <w:tcPr>
            <w:tcW w:w="704" w:type="dxa"/>
            <w:vAlign w:val="center"/>
          </w:tcPr>
          <w:p w14:paraId="29F18441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2977" w:type="dxa"/>
            <w:vAlign w:val="center"/>
          </w:tcPr>
          <w:p w14:paraId="316B848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二元一次聯立方程式</w:t>
            </w:r>
          </w:p>
        </w:tc>
        <w:tc>
          <w:tcPr>
            <w:tcW w:w="5670" w:type="dxa"/>
            <w:vMerge/>
            <w:vAlign w:val="center"/>
          </w:tcPr>
          <w:p w14:paraId="04C93EB7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14:paraId="0870D85E" w14:textId="77777777" w:rsidTr="00017E29">
        <w:trPr>
          <w:trHeight w:val="871"/>
        </w:trPr>
        <w:tc>
          <w:tcPr>
            <w:tcW w:w="704" w:type="dxa"/>
            <w:vAlign w:val="center"/>
          </w:tcPr>
          <w:p w14:paraId="0368C237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977" w:type="dxa"/>
            <w:vAlign w:val="center"/>
          </w:tcPr>
          <w:p w14:paraId="64EF6E74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直角坐標與二元一次</w:t>
            </w:r>
            <w:proofErr w:type="gramStart"/>
            <w:r>
              <w:rPr>
                <w:rFonts w:ascii="標楷體" w:eastAsia="標楷體" w:hAnsi="標楷體" w:cs="標楷體"/>
              </w:rPr>
              <w:t>聯立方程式的圖形</w:t>
            </w:r>
            <w:proofErr w:type="gramEnd"/>
          </w:p>
        </w:tc>
        <w:tc>
          <w:tcPr>
            <w:tcW w:w="5670" w:type="dxa"/>
            <w:vMerge/>
            <w:vAlign w:val="center"/>
          </w:tcPr>
          <w:p w14:paraId="506D3401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14:paraId="598D7CB8" w14:textId="77777777" w:rsidTr="00017E29">
        <w:trPr>
          <w:trHeight w:val="871"/>
        </w:trPr>
        <w:tc>
          <w:tcPr>
            <w:tcW w:w="704" w:type="dxa"/>
            <w:vAlign w:val="center"/>
          </w:tcPr>
          <w:p w14:paraId="6C2944FE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2977" w:type="dxa"/>
            <w:vAlign w:val="center"/>
          </w:tcPr>
          <w:p w14:paraId="0648C2FB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比與比例</w:t>
            </w:r>
          </w:p>
        </w:tc>
        <w:tc>
          <w:tcPr>
            <w:tcW w:w="5670" w:type="dxa"/>
            <w:vMerge/>
            <w:vAlign w:val="center"/>
          </w:tcPr>
          <w:p w14:paraId="306CD0A8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14:paraId="5EBA97FA" w14:textId="77777777" w:rsidTr="00017E29">
        <w:trPr>
          <w:trHeight w:val="871"/>
        </w:trPr>
        <w:tc>
          <w:tcPr>
            <w:tcW w:w="704" w:type="dxa"/>
            <w:vAlign w:val="center"/>
          </w:tcPr>
          <w:p w14:paraId="23F687D2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2977" w:type="dxa"/>
            <w:vAlign w:val="center"/>
          </w:tcPr>
          <w:p w14:paraId="43C5491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一元一次不等式</w:t>
            </w:r>
          </w:p>
        </w:tc>
        <w:tc>
          <w:tcPr>
            <w:tcW w:w="5670" w:type="dxa"/>
            <w:vMerge/>
            <w:vAlign w:val="center"/>
          </w:tcPr>
          <w:p w14:paraId="02930F32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14:paraId="33B583AA" w14:textId="77777777" w:rsidTr="00017E29">
        <w:trPr>
          <w:trHeight w:val="871"/>
        </w:trPr>
        <w:tc>
          <w:tcPr>
            <w:tcW w:w="704" w:type="dxa"/>
            <w:vAlign w:val="center"/>
          </w:tcPr>
          <w:p w14:paraId="37652F1C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2977" w:type="dxa"/>
            <w:vAlign w:val="center"/>
          </w:tcPr>
          <w:p w14:paraId="3FCD151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線對稱與三視圖</w:t>
            </w:r>
          </w:p>
        </w:tc>
        <w:tc>
          <w:tcPr>
            <w:tcW w:w="5670" w:type="dxa"/>
            <w:vMerge/>
            <w:vAlign w:val="center"/>
          </w:tcPr>
          <w:p w14:paraId="39B018D5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14:paraId="19E96B4D" w14:textId="77777777" w:rsidTr="00017E29">
        <w:trPr>
          <w:trHeight w:val="872"/>
        </w:trPr>
        <w:tc>
          <w:tcPr>
            <w:tcW w:w="704" w:type="dxa"/>
            <w:vAlign w:val="center"/>
          </w:tcPr>
          <w:p w14:paraId="5588D3E4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2977" w:type="dxa"/>
            <w:vAlign w:val="center"/>
          </w:tcPr>
          <w:p w14:paraId="7D35C870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統計圖表與數據分析</w:t>
            </w:r>
          </w:p>
        </w:tc>
        <w:tc>
          <w:tcPr>
            <w:tcW w:w="5670" w:type="dxa"/>
            <w:vMerge/>
            <w:vAlign w:val="center"/>
          </w:tcPr>
          <w:p w14:paraId="13575F23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14:paraId="2C1CEB26" w14:textId="77777777" w:rsidTr="00017E29">
        <w:trPr>
          <w:trHeight w:val="936"/>
        </w:trPr>
        <w:tc>
          <w:tcPr>
            <w:tcW w:w="704" w:type="dxa"/>
            <w:vAlign w:val="center"/>
          </w:tcPr>
          <w:p w14:paraId="2AC63B8C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2977" w:type="dxa"/>
            <w:vAlign w:val="center"/>
          </w:tcPr>
          <w:p w14:paraId="11E723C8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乘法公式與多項式</w:t>
            </w:r>
          </w:p>
        </w:tc>
        <w:tc>
          <w:tcPr>
            <w:tcW w:w="5670" w:type="dxa"/>
            <w:vMerge w:val="restart"/>
            <w:vAlign w:val="center"/>
          </w:tcPr>
          <w:p w14:paraId="6B5472CA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二次方根</w:t>
            </w:r>
          </w:p>
          <w:p w14:paraId="21C4A5FF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二次方根的近似值</w:t>
            </w:r>
          </w:p>
          <w:p w14:paraId="1020EFCC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認識數列</w:t>
            </w:r>
          </w:p>
          <w:p w14:paraId="5A9C1583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等差數列</w:t>
            </w:r>
          </w:p>
          <w:p w14:paraId="30F22978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等差級數求和</w:t>
            </w:r>
          </w:p>
          <w:p w14:paraId="552DA321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等比數列</w:t>
            </w:r>
          </w:p>
          <w:p w14:paraId="52D80E37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角</w:t>
            </w:r>
          </w:p>
          <w:p w14:paraId="45A63D08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凸</w:t>
            </w:r>
            <w:proofErr w:type="gramEnd"/>
            <w:r>
              <w:rPr>
                <w:rFonts w:ascii="標楷體" w:eastAsia="標楷體" w:hAnsi="標楷體" w:cs="標楷體"/>
              </w:rPr>
              <w:t>多邊形的內角</w:t>
            </w:r>
            <w:proofErr w:type="gramStart"/>
            <w:r>
              <w:rPr>
                <w:rFonts w:ascii="標楷體" w:eastAsia="標楷體" w:hAnsi="標楷體" w:cs="標楷體"/>
              </w:rPr>
              <w:t>和</w:t>
            </w:r>
            <w:proofErr w:type="gramEnd"/>
          </w:p>
          <w:p w14:paraId="158028B6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平行</w:t>
            </w:r>
          </w:p>
          <w:p w14:paraId="70A6888F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全等圖形</w:t>
            </w:r>
          </w:p>
          <w:p w14:paraId="3FD1C9DD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三角形的全等性質</w:t>
            </w:r>
          </w:p>
          <w:p w14:paraId="6E39FD1F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畢氏定理</w:t>
            </w:r>
          </w:p>
          <w:p w14:paraId="41B0864C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平面圖形的面積</w:t>
            </w:r>
          </w:p>
        </w:tc>
      </w:tr>
      <w:tr w:rsidR="00094222" w14:paraId="1C0B4EFC" w14:textId="77777777" w:rsidTr="00017E29">
        <w:trPr>
          <w:trHeight w:val="936"/>
        </w:trPr>
        <w:tc>
          <w:tcPr>
            <w:tcW w:w="704" w:type="dxa"/>
            <w:vAlign w:val="center"/>
          </w:tcPr>
          <w:p w14:paraId="6C75ECF7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2977" w:type="dxa"/>
            <w:vAlign w:val="center"/>
          </w:tcPr>
          <w:p w14:paraId="0310A99C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平方根與畢氏定理</w:t>
            </w:r>
          </w:p>
        </w:tc>
        <w:tc>
          <w:tcPr>
            <w:tcW w:w="5670" w:type="dxa"/>
            <w:vMerge/>
            <w:vAlign w:val="center"/>
          </w:tcPr>
          <w:p w14:paraId="31476C1C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14:paraId="36589996" w14:textId="77777777" w:rsidTr="00017E29">
        <w:trPr>
          <w:trHeight w:val="936"/>
        </w:trPr>
        <w:tc>
          <w:tcPr>
            <w:tcW w:w="704" w:type="dxa"/>
            <w:vAlign w:val="center"/>
          </w:tcPr>
          <w:p w14:paraId="78E1D7BC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2977" w:type="dxa"/>
            <w:vAlign w:val="center"/>
          </w:tcPr>
          <w:p w14:paraId="0B1E3E5D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因式分解</w:t>
            </w:r>
          </w:p>
        </w:tc>
        <w:tc>
          <w:tcPr>
            <w:tcW w:w="5670" w:type="dxa"/>
            <w:vMerge/>
            <w:vAlign w:val="center"/>
          </w:tcPr>
          <w:p w14:paraId="224B1B07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14:paraId="21E2C186" w14:textId="77777777" w:rsidTr="00017E29">
        <w:trPr>
          <w:trHeight w:val="936"/>
        </w:trPr>
        <w:tc>
          <w:tcPr>
            <w:tcW w:w="704" w:type="dxa"/>
            <w:vAlign w:val="center"/>
          </w:tcPr>
          <w:p w14:paraId="0008D242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13</w:t>
            </w:r>
          </w:p>
        </w:tc>
        <w:tc>
          <w:tcPr>
            <w:tcW w:w="2977" w:type="dxa"/>
            <w:vAlign w:val="center"/>
          </w:tcPr>
          <w:p w14:paraId="6D76DB61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一元二次方程式</w:t>
            </w:r>
          </w:p>
        </w:tc>
        <w:tc>
          <w:tcPr>
            <w:tcW w:w="5670" w:type="dxa"/>
            <w:vMerge/>
            <w:vAlign w:val="center"/>
          </w:tcPr>
          <w:p w14:paraId="03CB1B4B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14:paraId="504A7497" w14:textId="77777777" w:rsidTr="00017E29">
        <w:trPr>
          <w:trHeight w:val="936"/>
        </w:trPr>
        <w:tc>
          <w:tcPr>
            <w:tcW w:w="704" w:type="dxa"/>
            <w:vAlign w:val="center"/>
          </w:tcPr>
          <w:p w14:paraId="1326EAC7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2977" w:type="dxa"/>
            <w:vAlign w:val="center"/>
          </w:tcPr>
          <w:p w14:paraId="57099781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數列與級數</w:t>
            </w:r>
          </w:p>
        </w:tc>
        <w:tc>
          <w:tcPr>
            <w:tcW w:w="5670" w:type="dxa"/>
            <w:vMerge/>
            <w:vAlign w:val="center"/>
          </w:tcPr>
          <w:p w14:paraId="26060715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14:paraId="7798A3FA" w14:textId="77777777" w:rsidTr="00017E29">
        <w:trPr>
          <w:trHeight w:val="1152"/>
        </w:trPr>
        <w:tc>
          <w:tcPr>
            <w:tcW w:w="704" w:type="dxa"/>
            <w:vAlign w:val="center"/>
          </w:tcPr>
          <w:p w14:paraId="53679507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2977" w:type="dxa"/>
            <w:vAlign w:val="center"/>
          </w:tcPr>
          <w:p w14:paraId="47CD1505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平面幾何圖形</w:t>
            </w:r>
          </w:p>
        </w:tc>
        <w:tc>
          <w:tcPr>
            <w:tcW w:w="5670" w:type="dxa"/>
            <w:vMerge w:val="restart"/>
            <w:vAlign w:val="center"/>
          </w:tcPr>
          <w:p w14:paraId="21AC34BD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三角形的基本性質</w:t>
            </w:r>
          </w:p>
          <w:p w14:paraId="666FFAEB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平行四邊形的基本性質正方形、長方形、</w:t>
            </w:r>
            <w:proofErr w:type="gramStart"/>
            <w:r>
              <w:rPr>
                <w:rFonts w:ascii="標楷體" w:eastAsia="標楷體" w:hAnsi="標楷體" w:cs="標楷體"/>
              </w:rPr>
              <w:t>箏形的</w:t>
            </w:r>
            <w:proofErr w:type="gramEnd"/>
            <w:r>
              <w:rPr>
                <w:rFonts w:ascii="標楷體" w:eastAsia="標楷體" w:hAnsi="標楷體" w:cs="標楷體"/>
              </w:rPr>
              <w:t>基本性質</w:t>
            </w:r>
          </w:p>
          <w:p w14:paraId="70F9F56A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梯形的基本性質</w:t>
            </w:r>
          </w:p>
          <w:p w14:paraId="4048E0DD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尺</w:t>
            </w:r>
            <w:proofErr w:type="gramStart"/>
            <w:r>
              <w:rPr>
                <w:rFonts w:ascii="標楷體" w:eastAsia="標楷體" w:hAnsi="標楷體" w:cs="標楷體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</w:rPr>
              <w:t>作圖與幾何推理</w:t>
            </w:r>
          </w:p>
          <w:p w14:paraId="46E753C7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直角坐標系上兩點距離公式</w:t>
            </w:r>
          </w:p>
          <w:p w14:paraId="3385DCCC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二次式的乘法</w:t>
            </w:r>
            <w:proofErr w:type="gramEnd"/>
            <w:r>
              <w:rPr>
                <w:rFonts w:ascii="標楷體" w:eastAsia="標楷體" w:hAnsi="標楷體" w:cs="標楷體"/>
              </w:rPr>
              <w:t>公式</w:t>
            </w:r>
          </w:p>
          <w:p w14:paraId="31746057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多項式的意義</w:t>
            </w:r>
          </w:p>
          <w:p w14:paraId="58A0C877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多項式的四則運算</w:t>
            </w:r>
          </w:p>
          <w:p w14:paraId="2B37556C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因式分解</w:t>
            </w:r>
          </w:p>
          <w:p w14:paraId="04D4E20F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因式分解的方法</w:t>
            </w:r>
          </w:p>
          <w:p w14:paraId="75F11A69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一元二次方程式的意義</w:t>
            </w:r>
          </w:p>
          <w:p w14:paraId="3D8F1A7E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一元二次方程式的解法與應用</w:t>
            </w:r>
          </w:p>
          <w:p w14:paraId="35F8206D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一次函數</w:t>
            </w:r>
          </w:p>
          <w:p w14:paraId="0B00C879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一次函數的圖形</w:t>
            </w:r>
          </w:p>
          <w:p w14:paraId="38177963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統計資料處理</w:t>
            </w:r>
          </w:p>
        </w:tc>
      </w:tr>
      <w:tr w:rsidR="00094222" w14:paraId="245EE5B6" w14:textId="77777777" w:rsidTr="00017E29">
        <w:trPr>
          <w:trHeight w:val="1152"/>
        </w:trPr>
        <w:tc>
          <w:tcPr>
            <w:tcW w:w="704" w:type="dxa"/>
            <w:vAlign w:val="center"/>
          </w:tcPr>
          <w:p w14:paraId="35D7A5EE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2977" w:type="dxa"/>
            <w:vAlign w:val="center"/>
          </w:tcPr>
          <w:p w14:paraId="2D057BE5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三角形的基本性質</w:t>
            </w:r>
          </w:p>
        </w:tc>
        <w:tc>
          <w:tcPr>
            <w:tcW w:w="5670" w:type="dxa"/>
            <w:vMerge/>
            <w:vAlign w:val="center"/>
          </w:tcPr>
          <w:p w14:paraId="466ED144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14:paraId="1CCD1A5C" w14:textId="77777777" w:rsidTr="00017E29">
        <w:trPr>
          <w:trHeight w:val="1152"/>
        </w:trPr>
        <w:tc>
          <w:tcPr>
            <w:tcW w:w="704" w:type="dxa"/>
            <w:vAlign w:val="center"/>
          </w:tcPr>
          <w:p w14:paraId="679F3FF2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2977" w:type="dxa"/>
            <w:vAlign w:val="center"/>
          </w:tcPr>
          <w:p w14:paraId="63651608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平行與四邊形</w:t>
            </w:r>
          </w:p>
        </w:tc>
        <w:tc>
          <w:tcPr>
            <w:tcW w:w="5670" w:type="dxa"/>
            <w:vMerge/>
            <w:vAlign w:val="center"/>
          </w:tcPr>
          <w:p w14:paraId="380B190F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14:paraId="2C9716F6" w14:textId="77777777" w:rsidTr="00017E29">
        <w:trPr>
          <w:trHeight w:val="1152"/>
        </w:trPr>
        <w:tc>
          <w:tcPr>
            <w:tcW w:w="704" w:type="dxa"/>
            <w:vAlign w:val="center"/>
          </w:tcPr>
          <w:p w14:paraId="037900F6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2977" w:type="dxa"/>
            <w:vAlign w:val="center"/>
          </w:tcPr>
          <w:p w14:paraId="5426800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線型函數</w:t>
            </w:r>
          </w:p>
        </w:tc>
        <w:tc>
          <w:tcPr>
            <w:tcW w:w="5670" w:type="dxa"/>
            <w:vMerge/>
            <w:vAlign w:val="center"/>
          </w:tcPr>
          <w:p w14:paraId="640B9D1C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14:paraId="67568ABD" w14:textId="77777777" w:rsidTr="00017E29">
        <w:trPr>
          <w:trHeight w:val="1152"/>
        </w:trPr>
        <w:tc>
          <w:tcPr>
            <w:tcW w:w="704" w:type="dxa"/>
            <w:vAlign w:val="center"/>
          </w:tcPr>
          <w:p w14:paraId="3B58A266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2977" w:type="dxa"/>
            <w:vAlign w:val="center"/>
          </w:tcPr>
          <w:p w14:paraId="525B0463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統計資料處理</w:t>
            </w:r>
          </w:p>
        </w:tc>
        <w:tc>
          <w:tcPr>
            <w:tcW w:w="5670" w:type="dxa"/>
            <w:vMerge/>
            <w:vAlign w:val="center"/>
          </w:tcPr>
          <w:p w14:paraId="08C421EF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14:paraId="3C894F93" w14:textId="77777777" w:rsidTr="00017E29">
        <w:trPr>
          <w:trHeight w:val="968"/>
        </w:trPr>
        <w:tc>
          <w:tcPr>
            <w:tcW w:w="704" w:type="dxa"/>
            <w:vAlign w:val="center"/>
          </w:tcPr>
          <w:p w14:paraId="7E156859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2977" w:type="dxa"/>
            <w:vAlign w:val="center"/>
          </w:tcPr>
          <w:p w14:paraId="1651098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相似形</w:t>
            </w:r>
          </w:p>
        </w:tc>
        <w:tc>
          <w:tcPr>
            <w:tcW w:w="5670" w:type="dxa"/>
            <w:vMerge w:val="restart"/>
            <w:vAlign w:val="center"/>
          </w:tcPr>
          <w:p w14:paraId="3DE863BA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連比</w:t>
            </w:r>
          </w:p>
          <w:p w14:paraId="1746B9EE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相似形</w:t>
            </w:r>
          </w:p>
          <w:p w14:paraId="0F578D65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三角形的相似性質</w:t>
            </w:r>
          </w:p>
          <w:p w14:paraId="2CD81C6E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平行線</w:t>
            </w:r>
            <w:proofErr w:type="gramStart"/>
            <w:r>
              <w:rPr>
                <w:rFonts w:ascii="標楷體" w:eastAsia="標楷體" w:hAnsi="標楷體" w:cs="標楷體"/>
              </w:rPr>
              <w:t>截</w:t>
            </w:r>
            <w:proofErr w:type="gramEnd"/>
            <w:r>
              <w:rPr>
                <w:rFonts w:ascii="標楷體" w:eastAsia="標楷體" w:hAnsi="標楷體" w:cs="標楷體"/>
              </w:rPr>
              <w:t>比例線段</w:t>
            </w:r>
          </w:p>
          <w:p w14:paraId="79C77F66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相似直角三角形邊長比值的不變性</w:t>
            </w:r>
          </w:p>
          <w:p w14:paraId="756F6B48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圓弧長與扇形面積</w:t>
            </w:r>
          </w:p>
          <w:p w14:paraId="4E73937B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圓的幾何性質</w:t>
            </w:r>
          </w:p>
          <w:p w14:paraId="42EDA5EF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點、直線與圓的關係</w:t>
            </w:r>
          </w:p>
          <w:p w14:paraId="320389E8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三角形的外心</w:t>
            </w:r>
          </w:p>
          <w:p w14:paraId="4CCE5914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三角形的內心</w:t>
            </w:r>
          </w:p>
          <w:p w14:paraId="233C3F44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三角形的重心</w:t>
            </w:r>
          </w:p>
          <w:p w14:paraId="5953D5DD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證明的意義</w:t>
            </w:r>
          </w:p>
          <w:p w14:paraId="0040680A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空間中的線與平面</w:t>
            </w:r>
          </w:p>
          <w:p w14:paraId="41E3F890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表面積與體積</w:t>
            </w:r>
          </w:p>
          <w:p w14:paraId="61C3773E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二次函數的意義</w:t>
            </w:r>
          </w:p>
          <w:p w14:paraId="22C25FF7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二次函數的圖形與極值</w:t>
            </w:r>
          </w:p>
          <w:p w14:paraId="15E8436D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統計數據的分布</w:t>
            </w:r>
          </w:p>
          <w:p w14:paraId="0A6F6506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認識機率</w:t>
            </w:r>
          </w:p>
          <w:p w14:paraId="6E834209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古典機率</w:t>
            </w:r>
          </w:p>
        </w:tc>
      </w:tr>
      <w:tr w:rsidR="00094222" w14:paraId="7B4D7450" w14:textId="77777777" w:rsidTr="00017E29">
        <w:trPr>
          <w:trHeight w:val="969"/>
        </w:trPr>
        <w:tc>
          <w:tcPr>
            <w:tcW w:w="704" w:type="dxa"/>
            <w:vAlign w:val="center"/>
          </w:tcPr>
          <w:p w14:paraId="7ABEA16D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2977" w:type="dxa"/>
            <w:vAlign w:val="center"/>
          </w:tcPr>
          <w:p w14:paraId="7E43C96E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圓的性質</w:t>
            </w:r>
          </w:p>
        </w:tc>
        <w:tc>
          <w:tcPr>
            <w:tcW w:w="5670" w:type="dxa"/>
            <w:vMerge/>
            <w:vAlign w:val="center"/>
          </w:tcPr>
          <w:p w14:paraId="09938477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14:paraId="57128BEC" w14:textId="77777777" w:rsidTr="00017E29">
        <w:trPr>
          <w:trHeight w:val="968"/>
        </w:trPr>
        <w:tc>
          <w:tcPr>
            <w:tcW w:w="704" w:type="dxa"/>
            <w:vAlign w:val="center"/>
          </w:tcPr>
          <w:p w14:paraId="65740BE9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22</w:t>
            </w:r>
          </w:p>
        </w:tc>
        <w:tc>
          <w:tcPr>
            <w:tcW w:w="2977" w:type="dxa"/>
            <w:vAlign w:val="center"/>
          </w:tcPr>
          <w:p w14:paraId="2FF9C462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推論證明與三角形的三心</w:t>
            </w:r>
          </w:p>
        </w:tc>
        <w:tc>
          <w:tcPr>
            <w:tcW w:w="5670" w:type="dxa"/>
            <w:vMerge/>
            <w:vAlign w:val="center"/>
          </w:tcPr>
          <w:p w14:paraId="1BEFBC2B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14:paraId="6E73C114" w14:textId="77777777" w:rsidTr="00017E29">
        <w:trPr>
          <w:trHeight w:val="969"/>
        </w:trPr>
        <w:tc>
          <w:tcPr>
            <w:tcW w:w="704" w:type="dxa"/>
            <w:vAlign w:val="center"/>
          </w:tcPr>
          <w:p w14:paraId="7D8EAF74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23</w:t>
            </w:r>
          </w:p>
        </w:tc>
        <w:tc>
          <w:tcPr>
            <w:tcW w:w="2977" w:type="dxa"/>
            <w:vAlign w:val="center"/>
          </w:tcPr>
          <w:p w14:paraId="65EDE35C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二次函數</w:t>
            </w:r>
          </w:p>
        </w:tc>
        <w:tc>
          <w:tcPr>
            <w:tcW w:w="5670" w:type="dxa"/>
            <w:vMerge/>
            <w:vAlign w:val="center"/>
          </w:tcPr>
          <w:p w14:paraId="723821C0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14:paraId="67F0A61F" w14:textId="77777777" w:rsidTr="00017E29">
        <w:trPr>
          <w:trHeight w:val="968"/>
        </w:trPr>
        <w:tc>
          <w:tcPr>
            <w:tcW w:w="704" w:type="dxa"/>
            <w:vAlign w:val="center"/>
          </w:tcPr>
          <w:p w14:paraId="69C2FFB1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24</w:t>
            </w:r>
          </w:p>
        </w:tc>
        <w:tc>
          <w:tcPr>
            <w:tcW w:w="2977" w:type="dxa"/>
            <w:vAlign w:val="center"/>
          </w:tcPr>
          <w:p w14:paraId="78D82B00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立體圖形</w:t>
            </w:r>
          </w:p>
        </w:tc>
        <w:tc>
          <w:tcPr>
            <w:tcW w:w="5670" w:type="dxa"/>
            <w:vMerge/>
            <w:vAlign w:val="center"/>
          </w:tcPr>
          <w:p w14:paraId="17F688F4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14:paraId="218D97AC" w14:textId="77777777" w:rsidTr="00017E29">
        <w:trPr>
          <w:trHeight w:val="969"/>
        </w:trPr>
        <w:tc>
          <w:tcPr>
            <w:tcW w:w="704" w:type="dxa"/>
            <w:vAlign w:val="center"/>
          </w:tcPr>
          <w:p w14:paraId="1621D6EB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25</w:t>
            </w:r>
          </w:p>
        </w:tc>
        <w:tc>
          <w:tcPr>
            <w:tcW w:w="2977" w:type="dxa"/>
            <w:vAlign w:val="center"/>
          </w:tcPr>
          <w:p w14:paraId="2B3EBF2D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統計與機率</w:t>
            </w:r>
          </w:p>
        </w:tc>
        <w:tc>
          <w:tcPr>
            <w:tcW w:w="5670" w:type="dxa"/>
            <w:vMerge/>
            <w:vAlign w:val="center"/>
          </w:tcPr>
          <w:p w14:paraId="2138F7F8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094222" w14:paraId="39068377" w14:textId="77777777" w:rsidTr="00017E29">
        <w:trPr>
          <w:trHeight w:val="969"/>
        </w:trPr>
        <w:tc>
          <w:tcPr>
            <w:tcW w:w="704" w:type="dxa"/>
            <w:vAlign w:val="center"/>
          </w:tcPr>
          <w:p w14:paraId="50006C43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26</w:t>
            </w:r>
          </w:p>
        </w:tc>
        <w:tc>
          <w:tcPr>
            <w:tcW w:w="2977" w:type="dxa"/>
            <w:vAlign w:val="center"/>
          </w:tcPr>
          <w:p w14:paraId="3B462AD2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連比例</w:t>
            </w:r>
          </w:p>
        </w:tc>
        <w:tc>
          <w:tcPr>
            <w:tcW w:w="5670" w:type="dxa"/>
            <w:vMerge/>
            <w:vAlign w:val="center"/>
          </w:tcPr>
          <w:p w14:paraId="0DE58406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</w:tbl>
    <w:p w14:paraId="49EE494B" w14:textId="77777777"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【社會領域】</w:t>
      </w:r>
    </w:p>
    <w:tbl>
      <w:tblPr>
        <w:tblStyle w:val="afc"/>
        <w:tblW w:w="10201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822"/>
        <w:gridCol w:w="2156"/>
        <w:gridCol w:w="6520"/>
      </w:tblGrid>
      <w:tr w:rsidR="00094222" w14:paraId="25D42885" w14:textId="77777777" w:rsidTr="00017E29">
        <w:trPr>
          <w:trHeight w:val="70"/>
        </w:trPr>
        <w:tc>
          <w:tcPr>
            <w:tcW w:w="703" w:type="dxa"/>
            <w:shd w:val="clear" w:color="auto" w:fill="F2F2F2"/>
            <w:vAlign w:val="center"/>
          </w:tcPr>
          <w:p w14:paraId="557E8CA6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822" w:type="dxa"/>
            <w:shd w:val="clear" w:color="auto" w:fill="F2F2F2"/>
            <w:vAlign w:val="center"/>
          </w:tcPr>
          <w:p w14:paraId="72E6A44D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科目</w:t>
            </w:r>
          </w:p>
        </w:tc>
        <w:tc>
          <w:tcPr>
            <w:tcW w:w="2156" w:type="dxa"/>
            <w:shd w:val="clear" w:color="auto" w:fill="F2F2F2"/>
            <w:vAlign w:val="center"/>
          </w:tcPr>
          <w:p w14:paraId="153A22AC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核心概念</w:t>
            </w:r>
          </w:p>
        </w:tc>
        <w:tc>
          <w:tcPr>
            <w:tcW w:w="6520" w:type="dxa"/>
            <w:shd w:val="clear" w:color="auto" w:fill="F2F2F2"/>
            <w:vAlign w:val="center"/>
          </w:tcPr>
          <w:p w14:paraId="7250EE55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</w:tr>
      <w:tr w:rsidR="00094222" w14:paraId="728A6052" w14:textId="77777777" w:rsidTr="00017E29">
        <w:tc>
          <w:tcPr>
            <w:tcW w:w="703" w:type="dxa"/>
            <w:vAlign w:val="center"/>
          </w:tcPr>
          <w:p w14:paraId="572330A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22" w:type="dxa"/>
            <w:vMerge w:val="restart"/>
            <w:vAlign w:val="center"/>
          </w:tcPr>
          <w:p w14:paraId="7C0F9684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歷史</w:t>
            </w:r>
          </w:p>
        </w:tc>
        <w:tc>
          <w:tcPr>
            <w:tcW w:w="2156" w:type="dxa"/>
            <w:vAlign w:val="center"/>
          </w:tcPr>
          <w:p w14:paraId="7D0E4A33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基礎觀念</w:t>
            </w:r>
          </w:p>
        </w:tc>
        <w:tc>
          <w:tcPr>
            <w:tcW w:w="6520" w:type="dxa"/>
            <w:vAlign w:val="center"/>
          </w:tcPr>
          <w:p w14:paraId="2841774C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紀年與分期、考古發掘與史前文化</w:t>
            </w:r>
          </w:p>
        </w:tc>
      </w:tr>
      <w:tr w:rsidR="00094222" w14:paraId="188BC399" w14:textId="77777777" w:rsidTr="00017E29">
        <w:tc>
          <w:tcPr>
            <w:tcW w:w="703" w:type="dxa"/>
            <w:vAlign w:val="center"/>
          </w:tcPr>
          <w:p w14:paraId="419E0F18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822" w:type="dxa"/>
            <w:vMerge/>
            <w:vAlign w:val="center"/>
          </w:tcPr>
          <w:p w14:paraId="67B5D55F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45C78C8E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歷史考察</w:t>
            </w:r>
          </w:p>
        </w:tc>
        <w:tc>
          <w:tcPr>
            <w:tcW w:w="6520" w:type="dxa"/>
            <w:vAlign w:val="center"/>
          </w:tcPr>
          <w:p w14:paraId="136804C5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14:paraId="3275E707" w14:textId="77777777" w:rsidTr="00017E29">
        <w:tc>
          <w:tcPr>
            <w:tcW w:w="703" w:type="dxa"/>
            <w:vAlign w:val="center"/>
          </w:tcPr>
          <w:p w14:paraId="44DB89BE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822" w:type="dxa"/>
            <w:vMerge/>
            <w:vAlign w:val="center"/>
          </w:tcPr>
          <w:p w14:paraId="35400A9A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74E381D8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臺灣</w:t>
            </w:r>
          </w:p>
        </w:tc>
        <w:tc>
          <w:tcPr>
            <w:tcW w:w="6520" w:type="dxa"/>
            <w:vAlign w:val="center"/>
          </w:tcPr>
          <w:p w14:paraId="56F93BBF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早期、清帝國時期、日本帝國時期、當代</w:t>
            </w:r>
          </w:p>
        </w:tc>
      </w:tr>
      <w:tr w:rsidR="00094222" w14:paraId="245CDD18" w14:textId="77777777" w:rsidTr="00017E29">
        <w:tc>
          <w:tcPr>
            <w:tcW w:w="703" w:type="dxa"/>
            <w:vAlign w:val="center"/>
          </w:tcPr>
          <w:p w14:paraId="702CCCC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822" w:type="dxa"/>
            <w:vMerge/>
            <w:vAlign w:val="center"/>
          </w:tcPr>
          <w:p w14:paraId="01BA162B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5AF11190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從古典到傳統時代</w:t>
            </w:r>
          </w:p>
        </w:tc>
        <w:tc>
          <w:tcPr>
            <w:tcW w:w="6520" w:type="dxa"/>
            <w:vAlign w:val="center"/>
          </w:tcPr>
          <w:p w14:paraId="6D3BA604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14:paraId="0A9CA078" w14:textId="77777777" w:rsidTr="00017E29">
        <w:tc>
          <w:tcPr>
            <w:tcW w:w="703" w:type="dxa"/>
            <w:vAlign w:val="center"/>
          </w:tcPr>
          <w:p w14:paraId="199A9C17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822" w:type="dxa"/>
            <w:vMerge/>
            <w:vAlign w:val="center"/>
          </w:tcPr>
          <w:p w14:paraId="5B62E4F0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7BF5A912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從傳統到現代</w:t>
            </w:r>
          </w:p>
        </w:tc>
        <w:tc>
          <w:tcPr>
            <w:tcW w:w="6520" w:type="dxa"/>
            <w:vAlign w:val="center"/>
          </w:tcPr>
          <w:p w14:paraId="1A64083C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14:paraId="4AD259D4" w14:textId="77777777" w:rsidTr="00017E29">
        <w:tc>
          <w:tcPr>
            <w:tcW w:w="703" w:type="dxa"/>
            <w:vAlign w:val="center"/>
          </w:tcPr>
          <w:p w14:paraId="35C4D7B0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822" w:type="dxa"/>
            <w:vMerge/>
            <w:vAlign w:val="center"/>
          </w:tcPr>
          <w:p w14:paraId="5B934856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3C4AFD6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現代國家的興起</w:t>
            </w:r>
          </w:p>
        </w:tc>
        <w:tc>
          <w:tcPr>
            <w:tcW w:w="6520" w:type="dxa"/>
            <w:vAlign w:val="center"/>
          </w:tcPr>
          <w:p w14:paraId="23E95E46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14:paraId="1E9F1776" w14:textId="77777777" w:rsidTr="00017E29">
        <w:tc>
          <w:tcPr>
            <w:tcW w:w="703" w:type="dxa"/>
            <w:vAlign w:val="center"/>
          </w:tcPr>
          <w:p w14:paraId="02CCEEEA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822" w:type="dxa"/>
            <w:vMerge/>
            <w:vAlign w:val="center"/>
          </w:tcPr>
          <w:p w14:paraId="0AF632C5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2206660B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當代東亞的局勢</w:t>
            </w:r>
          </w:p>
        </w:tc>
        <w:tc>
          <w:tcPr>
            <w:tcW w:w="6520" w:type="dxa"/>
            <w:vAlign w:val="center"/>
          </w:tcPr>
          <w:p w14:paraId="6A85807C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14:paraId="16D6C2AF" w14:textId="77777777" w:rsidTr="00017E29">
        <w:tc>
          <w:tcPr>
            <w:tcW w:w="703" w:type="dxa"/>
            <w:vAlign w:val="center"/>
          </w:tcPr>
          <w:p w14:paraId="5853D625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822" w:type="dxa"/>
            <w:vMerge/>
            <w:vAlign w:val="center"/>
          </w:tcPr>
          <w:p w14:paraId="234B1FD6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141118C8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古代文化的遺產</w:t>
            </w:r>
          </w:p>
        </w:tc>
        <w:tc>
          <w:tcPr>
            <w:tcW w:w="6520" w:type="dxa"/>
            <w:vAlign w:val="center"/>
          </w:tcPr>
          <w:p w14:paraId="6EF0616F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14:paraId="2EABF89E" w14:textId="77777777" w:rsidTr="00017E29">
        <w:tc>
          <w:tcPr>
            <w:tcW w:w="703" w:type="dxa"/>
            <w:vAlign w:val="center"/>
          </w:tcPr>
          <w:p w14:paraId="47F761A8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822" w:type="dxa"/>
            <w:vMerge/>
            <w:vAlign w:val="center"/>
          </w:tcPr>
          <w:p w14:paraId="786A38B4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1E0E46F5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近代世界的變革</w:t>
            </w:r>
          </w:p>
        </w:tc>
        <w:tc>
          <w:tcPr>
            <w:tcW w:w="6520" w:type="dxa"/>
            <w:vAlign w:val="center"/>
          </w:tcPr>
          <w:p w14:paraId="24C4D855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14:paraId="38ADB2F4" w14:textId="77777777" w:rsidTr="00017E29">
        <w:tc>
          <w:tcPr>
            <w:tcW w:w="703" w:type="dxa"/>
            <w:vAlign w:val="center"/>
          </w:tcPr>
          <w:p w14:paraId="166D80AB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822" w:type="dxa"/>
            <w:vMerge/>
            <w:vAlign w:val="center"/>
          </w:tcPr>
          <w:p w14:paraId="01EDED9A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1FC0D961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現代世界的發展</w:t>
            </w:r>
          </w:p>
        </w:tc>
        <w:tc>
          <w:tcPr>
            <w:tcW w:w="6520" w:type="dxa"/>
            <w:vAlign w:val="center"/>
          </w:tcPr>
          <w:p w14:paraId="44602D11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14:paraId="3EE4A7C5" w14:textId="77777777" w:rsidTr="00017E29">
        <w:tc>
          <w:tcPr>
            <w:tcW w:w="703" w:type="dxa"/>
            <w:vAlign w:val="center"/>
          </w:tcPr>
          <w:p w14:paraId="7AB702F1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822" w:type="dxa"/>
            <w:vMerge w:val="restart"/>
            <w:vAlign w:val="center"/>
          </w:tcPr>
          <w:p w14:paraId="59F8E29E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地理</w:t>
            </w:r>
          </w:p>
        </w:tc>
        <w:tc>
          <w:tcPr>
            <w:tcW w:w="2156" w:type="dxa"/>
            <w:vAlign w:val="center"/>
          </w:tcPr>
          <w:p w14:paraId="3C1AA609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基本概念</w:t>
            </w:r>
          </w:p>
        </w:tc>
        <w:tc>
          <w:tcPr>
            <w:tcW w:w="6520" w:type="dxa"/>
            <w:vAlign w:val="center"/>
          </w:tcPr>
          <w:p w14:paraId="65606A8E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14:paraId="274C757D" w14:textId="77777777" w:rsidTr="00017E29">
        <w:tc>
          <w:tcPr>
            <w:tcW w:w="703" w:type="dxa"/>
            <w:vAlign w:val="center"/>
          </w:tcPr>
          <w:p w14:paraId="650516C4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822" w:type="dxa"/>
            <w:vMerge/>
            <w:vAlign w:val="center"/>
          </w:tcPr>
          <w:p w14:paraId="0F47541E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3E72C07D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地理議題</w:t>
            </w:r>
          </w:p>
        </w:tc>
        <w:tc>
          <w:tcPr>
            <w:tcW w:w="6520" w:type="dxa"/>
            <w:vAlign w:val="center"/>
          </w:tcPr>
          <w:p w14:paraId="534F6116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14:paraId="04E4F3E7" w14:textId="77777777" w:rsidTr="00017E29">
        <w:tc>
          <w:tcPr>
            <w:tcW w:w="703" w:type="dxa"/>
            <w:vAlign w:val="center"/>
          </w:tcPr>
          <w:p w14:paraId="3B4416D9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822" w:type="dxa"/>
            <w:vMerge/>
            <w:vAlign w:val="center"/>
          </w:tcPr>
          <w:p w14:paraId="3E2D65E3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6EAA943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田野觀察</w:t>
            </w:r>
          </w:p>
        </w:tc>
        <w:tc>
          <w:tcPr>
            <w:tcW w:w="6520" w:type="dxa"/>
            <w:vAlign w:val="center"/>
          </w:tcPr>
          <w:p w14:paraId="21062C79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14:paraId="0F3195CF" w14:textId="77777777" w:rsidTr="00017E29">
        <w:tc>
          <w:tcPr>
            <w:tcW w:w="703" w:type="dxa"/>
            <w:vAlign w:val="center"/>
          </w:tcPr>
          <w:p w14:paraId="5E6DA581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822" w:type="dxa"/>
            <w:vMerge/>
            <w:vAlign w:val="center"/>
          </w:tcPr>
          <w:p w14:paraId="2F7335BC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71E1280A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臺灣</w:t>
            </w:r>
          </w:p>
        </w:tc>
        <w:tc>
          <w:tcPr>
            <w:tcW w:w="6520" w:type="dxa"/>
            <w:vAlign w:val="center"/>
          </w:tcPr>
          <w:p w14:paraId="65C9F10E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世界中的臺灣、地形與海域、氣候與水文、人口與文化、產業發展、區域發展、地名文化、農業與食品安全</w:t>
            </w:r>
          </w:p>
        </w:tc>
      </w:tr>
      <w:tr w:rsidR="00094222" w14:paraId="6B2229FC" w14:textId="77777777" w:rsidTr="00017E29">
        <w:tc>
          <w:tcPr>
            <w:tcW w:w="703" w:type="dxa"/>
            <w:vAlign w:val="center"/>
          </w:tcPr>
          <w:p w14:paraId="7C4CD301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822" w:type="dxa"/>
            <w:vMerge/>
            <w:vAlign w:val="center"/>
          </w:tcPr>
          <w:p w14:paraId="2A47BF08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1D785E84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中國</w:t>
            </w:r>
          </w:p>
        </w:tc>
        <w:tc>
          <w:tcPr>
            <w:tcW w:w="6520" w:type="dxa"/>
            <w:vAlign w:val="center"/>
          </w:tcPr>
          <w:p w14:paraId="2DCEA1CE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14:paraId="7C564CFA" w14:textId="77777777" w:rsidTr="00017E29">
        <w:tc>
          <w:tcPr>
            <w:tcW w:w="703" w:type="dxa"/>
            <w:vAlign w:val="center"/>
          </w:tcPr>
          <w:p w14:paraId="18B193B2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822" w:type="dxa"/>
            <w:vMerge/>
            <w:vAlign w:val="center"/>
          </w:tcPr>
          <w:p w14:paraId="6F7BE3E9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7EE35016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大洋洲與兩極地區</w:t>
            </w:r>
          </w:p>
        </w:tc>
        <w:tc>
          <w:tcPr>
            <w:tcW w:w="6520" w:type="dxa"/>
            <w:vAlign w:val="center"/>
          </w:tcPr>
          <w:p w14:paraId="7184524D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14:paraId="6642FF37" w14:textId="77777777" w:rsidTr="00017E29">
        <w:tc>
          <w:tcPr>
            <w:tcW w:w="703" w:type="dxa"/>
            <w:vAlign w:val="center"/>
          </w:tcPr>
          <w:p w14:paraId="15D42083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822" w:type="dxa"/>
            <w:vMerge/>
            <w:vAlign w:val="center"/>
          </w:tcPr>
          <w:p w14:paraId="05F007A7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64623EC6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季風亞洲</w:t>
            </w:r>
          </w:p>
        </w:tc>
        <w:tc>
          <w:tcPr>
            <w:tcW w:w="6520" w:type="dxa"/>
            <w:vAlign w:val="center"/>
          </w:tcPr>
          <w:p w14:paraId="280F191C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東北亞、東南亞和南亞</w:t>
            </w:r>
          </w:p>
        </w:tc>
      </w:tr>
      <w:tr w:rsidR="00094222" w14:paraId="7CA1D9F9" w14:textId="77777777" w:rsidTr="00017E29">
        <w:tc>
          <w:tcPr>
            <w:tcW w:w="703" w:type="dxa"/>
            <w:vAlign w:val="center"/>
          </w:tcPr>
          <w:p w14:paraId="3345DC17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822" w:type="dxa"/>
            <w:vMerge/>
            <w:vAlign w:val="center"/>
          </w:tcPr>
          <w:p w14:paraId="1A19228B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514EED36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西亞與北非</w:t>
            </w:r>
          </w:p>
        </w:tc>
        <w:tc>
          <w:tcPr>
            <w:tcW w:w="6520" w:type="dxa"/>
            <w:vAlign w:val="center"/>
          </w:tcPr>
          <w:p w14:paraId="5BEF0BBB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14:paraId="3C6C80B4" w14:textId="77777777" w:rsidTr="00017E29">
        <w:tc>
          <w:tcPr>
            <w:tcW w:w="703" w:type="dxa"/>
            <w:vAlign w:val="center"/>
          </w:tcPr>
          <w:p w14:paraId="68342BE0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822" w:type="dxa"/>
            <w:vMerge/>
            <w:vAlign w:val="center"/>
          </w:tcPr>
          <w:p w14:paraId="34842B7C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4D84F83B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漠</w:t>
            </w:r>
            <w:proofErr w:type="gramEnd"/>
            <w:r>
              <w:rPr>
                <w:rFonts w:ascii="標楷體" w:eastAsia="標楷體" w:hAnsi="標楷體" w:cs="標楷體"/>
              </w:rPr>
              <w:t>南非洲</w:t>
            </w:r>
          </w:p>
        </w:tc>
        <w:tc>
          <w:tcPr>
            <w:tcW w:w="6520" w:type="dxa"/>
            <w:vAlign w:val="center"/>
          </w:tcPr>
          <w:p w14:paraId="0133D484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14:paraId="4D92D604" w14:textId="77777777" w:rsidTr="00017E29">
        <w:tc>
          <w:tcPr>
            <w:tcW w:w="703" w:type="dxa"/>
            <w:vAlign w:val="center"/>
          </w:tcPr>
          <w:p w14:paraId="29924E70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822" w:type="dxa"/>
            <w:vMerge/>
            <w:vAlign w:val="center"/>
          </w:tcPr>
          <w:p w14:paraId="6CD7E3D8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314CC869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歐洲與俄羅斯</w:t>
            </w:r>
          </w:p>
        </w:tc>
        <w:tc>
          <w:tcPr>
            <w:tcW w:w="6520" w:type="dxa"/>
            <w:vAlign w:val="center"/>
          </w:tcPr>
          <w:p w14:paraId="69B13032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14:paraId="0D80B970" w14:textId="77777777" w:rsidTr="00017E29">
        <w:tc>
          <w:tcPr>
            <w:tcW w:w="703" w:type="dxa"/>
            <w:vAlign w:val="center"/>
          </w:tcPr>
          <w:p w14:paraId="152927DB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822" w:type="dxa"/>
            <w:vMerge/>
            <w:vAlign w:val="center"/>
          </w:tcPr>
          <w:p w14:paraId="66EAAC36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53DD8189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美洲</w:t>
            </w:r>
          </w:p>
        </w:tc>
        <w:tc>
          <w:tcPr>
            <w:tcW w:w="6520" w:type="dxa"/>
            <w:vAlign w:val="center"/>
          </w:tcPr>
          <w:p w14:paraId="73BF5083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14:paraId="226B2D4E" w14:textId="77777777" w:rsidTr="00017E29">
        <w:tc>
          <w:tcPr>
            <w:tcW w:w="703" w:type="dxa"/>
            <w:vAlign w:val="center"/>
          </w:tcPr>
          <w:p w14:paraId="1E56BD4E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22</w:t>
            </w:r>
          </w:p>
        </w:tc>
        <w:tc>
          <w:tcPr>
            <w:tcW w:w="822" w:type="dxa"/>
            <w:vMerge w:val="restart"/>
            <w:vAlign w:val="center"/>
          </w:tcPr>
          <w:p w14:paraId="00A914FC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公民與社會</w:t>
            </w:r>
          </w:p>
        </w:tc>
        <w:tc>
          <w:tcPr>
            <w:tcW w:w="2156" w:type="dxa"/>
            <w:vAlign w:val="center"/>
          </w:tcPr>
          <w:p w14:paraId="7196AB23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公民議題</w:t>
            </w:r>
          </w:p>
        </w:tc>
        <w:tc>
          <w:tcPr>
            <w:tcW w:w="6520" w:type="dxa"/>
            <w:vAlign w:val="center"/>
          </w:tcPr>
          <w:p w14:paraId="3C304245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14:paraId="0C8D6ACC" w14:textId="77777777" w:rsidTr="00017E29">
        <w:tc>
          <w:tcPr>
            <w:tcW w:w="703" w:type="dxa"/>
            <w:vAlign w:val="center"/>
          </w:tcPr>
          <w:p w14:paraId="04B5D3D2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23</w:t>
            </w:r>
          </w:p>
        </w:tc>
        <w:tc>
          <w:tcPr>
            <w:tcW w:w="822" w:type="dxa"/>
            <w:vMerge/>
            <w:vAlign w:val="center"/>
          </w:tcPr>
          <w:p w14:paraId="4E8BC188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628C589E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公民身分認同及社群</w:t>
            </w:r>
          </w:p>
        </w:tc>
        <w:tc>
          <w:tcPr>
            <w:tcW w:w="6520" w:type="dxa"/>
            <w:vAlign w:val="center"/>
          </w:tcPr>
          <w:p w14:paraId="3D3099EA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14:paraId="6C7D3C30" w14:textId="77777777" w:rsidTr="00017E29">
        <w:tc>
          <w:tcPr>
            <w:tcW w:w="703" w:type="dxa"/>
            <w:vAlign w:val="center"/>
          </w:tcPr>
          <w:p w14:paraId="2846BDD9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24</w:t>
            </w:r>
          </w:p>
        </w:tc>
        <w:tc>
          <w:tcPr>
            <w:tcW w:w="822" w:type="dxa"/>
            <w:vMerge/>
            <w:vAlign w:val="center"/>
          </w:tcPr>
          <w:p w14:paraId="3CEDE7FA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0DE939DD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社會生活的組織及制度</w:t>
            </w:r>
          </w:p>
        </w:tc>
        <w:tc>
          <w:tcPr>
            <w:tcW w:w="6520" w:type="dxa"/>
            <w:vAlign w:val="center"/>
          </w:tcPr>
          <w:p w14:paraId="475D972C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14:paraId="5383031D" w14:textId="77777777" w:rsidTr="00017E29">
        <w:tc>
          <w:tcPr>
            <w:tcW w:w="703" w:type="dxa"/>
            <w:vAlign w:val="center"/>
          </w:tcPr>
          <w:p w14:paraId="1B7AE909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25</w:t>
            </w:r>
          </w:p>
        </w:tc>
        <w:tc>
          <w:tcPr>
            <w:tcW w:w="822" w:type="dxa"/>
            <w:vMerge/>
            <w:vAlign w:val="center"/>
          </w:tcPr>
          <w:p w14:paraId="554AD1D0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326006B5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社會的運作、治理及參與實踐</w:t>
            </w:r>
          </w:p>
        </w:tc>
        <w:tc>
          <w:tcPr>
            <w:tcW w:w="6520" w:type="dxa"/>
            <w:vAlign w:val="center"/>
          </w:tcPr>
          <w:p w14:paraId="28EE280B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  <w:tr w:rsidR="00094222" w14:paraId="3FB4E704" w14:textId="77777777" w:rsidTr="00017E29">
        <w:tc>
          <w:tcPr>
            <w:tcW w:w="703" w:type="dxa"/>
            <w:vAlign w:val="center"/>
          </w:tcPr>
          <w:p w14:paraId="641B568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26</w:t>
            </w:r>
          </w:p>
        </w:tc>
        <w:tc>
          <w:tcPr>
            <w:tcW w:w="822" w:type="dxa"/>
            <w:vMerge/>
            <w:vAlign w:val="center"/>
          </w:tcPr>
          <w:p w14:paraId="07D4A2CA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0375D602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民主社會的理想及現實</w:t>
            </w:r>
          </w:p>
        </w:tc>
        <w:tc>
          <w:tcPr>
            <w:tcW w:w="6520" w:type="dxa"/>
            <w:vAlign w:val="center"/>
          </w:tcPr>
          <w:p w14:paraId="5A9FCE29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</w:p>
        </w:tc>
      </w:tr>
    </w:tbl>
    <w:p w14:paraId="1A0F626A" w14:textId="77777777"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【自然領域】</w:t>
      </w:r>
    </w:p>
    <w:tbl>
      <w:tblPr>
        <w:tblStyle w:val="afd"/>
        <w:tblW w:w="10201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822"/>
        <w:gridCol w:w="2156"/>
        <w:gridCol w:w="6520"/>
      </w:tblGrid>
      <w:tr w:rsidR="00094222" w14:paraId="76C7B44A" w14:textId="77777777" w:rsidTr="00017E29">
        <w:trPr>
          <w:trHeight w:val="70"/>
        </w:trPr>
        <w:tc>
          <w:tcPr>
            <w:tcW w:w="703" w:type="dxa"/>
            <w:shd w:val="clear" w:color="auto" w:fill="F2F2F2"/>
            <w:vAlign w:val="center"/>
          </w:tcPr>
          <w:p w14:paraId="5B3F4DCE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</w:t>
            </w:r>
            <w:r>
              <w:rPr>
                <w:rFonts w:ascii="標楷體" w:eastAsia="標楷體" w:hAnsi="標楷體" w:cs="標楷體"/>
              </w:rPr>
              <w:lastRenderedPageBreak/>
              <w:t>號</w:t>
            </w:r>
          </w:p>
        </w:tc>
        <w:tc>
          <w:tcPr>
            <w:tcW w:w="822" w:type="dxa"/>
            <w:shd w:val="clear" w:color="auto" w:fill="F2F2F2"/>
            <w:vAlign w:val="center"/>
          </w:tcPr>
          <w:p w14:paraId="2698B4C0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科目</w:t>
            </w:r>
          </w:p>
        </w:tc>
        <w:tc>
          <w:tcPr>
            <w:tcW w:w="2156" w:type="dxa"/>
            <w:shd w:val="clear" w:color="auto" w:fill="F2F2F2"/>
            <w:vAlign w:val="center"/>
          </w:tcPr>
          <w:p w14:paraId="4B5AE637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核心概念</w:t>
            </w:r>
          </w:p>
        </w:tc>
        <w:tc>
          <w:tcPr>
            <w:tcW w:w="6520" w:type="dxa"/>
            <w:shd w:val="clear" w:color="auto" w:fill="F2F2F2"/>
            <w:vAlign w:val="center"/>
          </w:tcPr>
          <w:p w14:paraId="793EBC38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</w:tr>
      <w:tr w:rsidR="00094222" w14:paraId="32EF6F82" w14:textId="77777777" w:rsidTr="00017E29">
        <w:tc>
          <w:tcPr>
            <w:tcW w:w="703" w:type="dxa"/>
            <w:vAlign w:val="center"/>
          </w:tcPr>
          <w:p w14:paraId="665C7623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22" w:type="dxa"/>
            <w:vMerge w:val="restart"/>
            <w:vAlign w:val="center"/>
          </w:tcPr>
          <w:p w14:paraId="042D1547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生物</w:t>
            </w:r>
          </w:p>
        </w:tc>
        <w:tc>
          <w:tcPr>
            <w:tcW w:w="2156" w:type="dxa"/>
            <w:vAlign w:val="center"/>
          </w:tcPr>
          <w:p w14:paraId="5096023C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生物體的構造與功能</w:t>
            </w:r>
          </w:p>
        </w:tc>
        <w:tc>
          <w:tcPr>
            <w:tcW w:w="6520" w:type="dxa"/>
            <w:vAlign w:val="center"/>
          </w:tcPr>
          <w:p w14:paraId="25E08F8A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細胞的構造與功能、動植物體的構造與功能、生物體內的恆定性與調節</w:t>
            </w:r>
          </w:p>
        </w:tc>
      </w:tr>
      <w:tr w:rsidR="00094222" w14:paraId="6C7FACFC" w14:textId="77777777" w:rsidTr="00017E29">
        <w:tc>
          <w:tcPr>
            <w:tcW w:w="703" w:type="dxa"/>
            <w:vAlign w:val="center"/>
          </w:tcPr>
          <w:p w14:paraId="2695A7EB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822" w:type="dxa"/>
            <w:vMerge/>
            <w:vAlign w:val="center"/>
          </w:tcPr>
          <w:p w14:paraId="5657A61B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7B8C3B70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生物與環境</w:t>
            </w:r>
          </w:p>
        </w:tc>
        <w:tc>
          <w:tcPr>
            <w:tcW w:w="6520" w:type="dxa"/>
            <w:vAlign w:val="center"/>
          </w:tcPr>
          <w:p w14:paraId="4DD12B87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生物間的交互作用</w:t>
            </w:r>
            <w:proofErr w:type="gramEnd"/>
            <w:r>
              <w:rPr>
                <w:rFonts w:ascii="標楷體" w:eastAsia="標楷體" w:hAnsi="標楷體" w:cs="標楷體"/>
              </w:rPr>
              <w:t>、生物與環境的交互作用</w:t>
            </w:r>
          </w:p>
        </w:tc>
      </w:tr>
      <w:tr w:rsidR="00094222" w14:paraId="2D6A7423" w14:textId="77777777" w:rsidTr="00017E29">
        <w:tc>
          <w:tcPr>
            <w:tcW w:w="703" w:type="dxa"/>
            <w:vAlign w:val="center"/>
          </w:tcPr>
          <w:p w14:paraId="791C42AB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822" w:type="dxa"/>
            <w:vMerge w:val="restart"/>
            <w:vAlign w:val="center"/>
          </w:tcPr>
          <w:p w14:paraId="4C369587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理化</w:t>
            </w:r>
          </w:p>
        </w:tc>
        <w:tc>
          <w:tcPr>
            <w:tcW w:w="2156" w:type="dxa"/>
            <w:vAlign w:val="center"/>
          </w:tcPr>
          <w:p w14:paraId="65133C2D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物質的組成與特性</w:t>
            </w:r>
          </w:p>
        </w:tc>
        <w:tc>
          <w:tcPr>
            <w:tcW w:w="6520" w:type="dxa"/>
            <w:vAlign w:val="center"/>
          </w:tcPr>
          <w:p w14:paraId="2DF865E9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物質組成與元素的週期性、物質的形態、性質及分類</w:t>
            </w:r>
          </w:p>
        </w:tc>
      </w:tr>
      <w:tr w:rsidR="00094222" w14:paraId="5649147C" w14:textId="77777777" w:rsidTr="00017E29">
        <w:tc>
          <w:tcPr>
            <w:tcW w:w="703" w:type="dxa"/>
            <w:vAlign w:val="center"/>
          </w:tcPr>
          <w:p w14:paraId="67F62A0B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822" w:type="dxa"/>
            <w:vMerge/>
            <w:vAlign w:val="center"/>
          </w:tcPr>
          <w:p w14:paraId="69B7E533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4EE0C35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能量的形式、轉換及流動</w:t>
            </w:r>
          </w:p>
        </w:tc>
        <w:tc>
          <w:tcPr>
            <w:tcW w:w="6520" w:type="dxa"/>
            <w:vAlign w:val="center"/>
          </w:tcPr>
          <w:p w14:paraId="1FB3F84B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能量的形式與轉換、溫度與熱量、生物體內的能量與代謝、生態系中能量的流動與轉換</w:t>
            </w:r>
          </w:p>
        </w:tc>
      </w:tr>
      <w:tr w:rsidR="00094222" w14:paraId="2ED5EC96" w14:textId="77777777" w:rsidTr="00017E29">
        <w:tc>
          <w:tcPr>
            <w:tcW w:w="703" w:type="dxa"/>
            <w:vAlign w:val="center"/>
          </w:tcPr>
          <w:p w14:paraId="4CA3BE93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822" w:type="dxa"/>
            <w:vMerge/>
            <w:vAlign w:val="center"/>
          </w:tcPr>
          <w:p w14:paraId="40D2EBF6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76B31F0B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物質的結構與功能</w:t>
            </w:r>
          </w:p>
        </w:tc>
        <w:tc>
          <w:tcPr>
            <w:tcW w:w="6520" w:type="dxa"/>
            <w:vAlign w:val="center"/>
          </w:tcPr>
          <w:p w14:paraId="50BAF1AA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物質的分離與鑑定、物質的結構與功能</w:t>
            </w:r>
          </w:p>
        </w:tc>
      </w:tr>
      <w:tr w:rsidR="00094222" w14:paraId="0B350FAF" w14:textId="77777777" w:rsidTr="00017E29">
        <w:tc>
          <w:tcPr>
            <w:tcW w:w="703" w:type="dxa"/>
            <w:vAlign w:val="center"/>
          </w:tcPr>
          <w:p w14:paraId="5FE20A8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822" w:type="dxa"/>
            <w:vMerge/>
            <w:vAlign w:val="center"/>
          </w:tcPr>
          <w:p w14:paraId="7DBC0881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319F4708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物質系統</w:t>
            </w:r>
          </w:p>
        </w:tc>
        <w:tc>
          <w:tcPr>
            <w:tcW w:w="6520" w:type="dxa"/>
            <w:vAlign w:val="center"/>
          </w:tcPr>
          <w:p w14:paraId="4674D5A6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自然界的尺度與單位、力與運動、氣體、宇宙與天體</w:t>
            </w:r>
          </w:p>
        </w:tc>
      </w:tr>
      <w:tr w:rsidR="00094222" w14:paraId="507D4593" w14:textId="77777777" w:rsidTr="00017E29">
        <w:tc>
          <w:tcPr>
            <w:tcW w:w="703" w:type="dxa"/>
            <w:vAlign w:val="center"/>
          </w:tcPr>
          <w:p w14:paraId="0DA75FE7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822" w:type="dxa"/>
            <w:vMerge/>
            <w:vAlign w:val="center"/>
          </w:tcPr>
          <w:p w14:paraId="6916E4A7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2E4EBC4D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物質的反應、平衡及製造</w:t>
            </w:r>
          </w:p>
        </w:tc>
        <w:tc>
          <w:tcPr>
            <w:tcW w:w="6520" w:type="dxa"/>
            <w:vAlign w:val="center"/>
          </w:tcPr>
          <w:p w14:paraId="1D9AA373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物質反應規律、水溶液中的變化、氧化與還原反應、酸鹼反應、化學反應速率與平衡、有機化合物的性質、製備及反應</w:t>
            </w:r>
          </w:p>
        </w:tc>
      </w:tr>
      <w:tr w:rsidR="00094222" w14:paraId="6FBDC3F6" w14:textId="77777777" w:rsidTr="00017E29">
        <w:tc>
          <w:tcPr>
            <w:tcW w:w="703" w:type="dxa"/>
            <w:vAlign w:val="center"/>
          </w:tcPr>
          <w:p w14:paraId="70E2E739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822" w:type="dxa"/>
            <w:vMerge/>
            <w:vAlign w:val="center"/>
          </w:tcPr>
          <w:p w14:paraId="4BCD7935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24AFB7B4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自然界的現象與交互作用</w:t>
            </w:r>
          </w:p>
        </w:tc>
        <w:tc>
          <w:tcPr>
            <w:tcW w:w="6520" w:type="dxa"/>
            <w:vAlign w:val="center"/>
          </w:tcPr>
          <w:p w14:paraId="042738E1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波動、光及聲音、萬有引力、電磁現象</w:t>
            </w:r>
          </w:p>
        </w:tc>
      </w:tr>
      <w:tr w:rsidR="00094222" w14:paraId="25C6AFFD" w14:textId="77777777" w:rsidTr="00017E29">
        <w:tc>
          <w:tcPr>
            <w:tcW w:w="703" w:type="dxa"/>
            <w:vAlign w:val="center"/>
          </w:tcPr>
          <w:p w14:paraId="5E13A55C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822" w:type="dxa"/>
            <w:vMerge w:val="restart"/>
            <w:vAlign w:val="center"/>
          </w:tcPr>
          <w:p w14:paraId="32BB90F7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地球科學</w:t>
            </w:r>
          </w:p>
        </w:tc>
        <w:tc>
          <w:tcPr>
            <w:tcW w:w="2156" w:type="dxa"/>
            <w:vAlign w:val="center"/>
          </w:tcPr>
          <w:p w14:paraId="60B525B3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地球環境</w:t>
            </w:r>
          </w:p>
        </w:tc>
        <w:tc>
          <w:tcPr>
            <w:tcW w:w="6520" w:type="dxa"/>
            <w:vAlign w:val="center"/>
          </w:tcPr>
          <w:p w14:paraId="2074394B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組成地球的物質、地球與太空、生物圈的組成</w:t>
            </w:r>
          </w:p>
        </w:tc>
      </w:tr>
      <w:tr w:rsidR="00094222" w14:paraId="1371EB55" w14:textId="77777777" w:rsidTr="00017E29">
        <w:tc>
          <w:tcPr>
            <w:tcW w:w="703" w:type="dxa"/>
            <w:vAlign w:val="center"/>
          </w:tcPr>
          <w:p w14:paraId="525A4A29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822" w:type="dxa"/>
            <w:vMerge/>
            <w:vAlign w:val="center"/>
          </w:tcPr>
          <w:p w14:paraId="6CDBEB25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4BD8EBFE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演化與延續</w:t>
            </w:r>
          </w:p>
        </w:tc>
        <w:tc>
          <w:tcPr>
            <w:tcW w:w="6520" w:type="dxa"/>
            <w:vAlign w:val="center"/>
          </w:tcPr>
          <w:p w14:paraId="5BE24B5C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生殖與遺傳、演化、生物多樣性</w:t>
            </w:r>
          </w:p>
        </w:tc>
      </w:tr>
      <w:tr w:rsidR="00094222" w14:paraId="04D62096" w14:textId="77777777" w:rsidTr="00017E29">
        <w:tc>
          <w:tcPr>
            <w:tcW w:w="703" w:type="dxa"/>
            <w:vAlign w:val="center"/>
          </w:tcPr>
          <w:p w14:paraId="145DC65E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822" w:type="dxa"/>
            <w:vMerge/>
            <w:vAlign w:val="center"/>
          </w:tcPr>
          <w:p w14:paraId="6C8FB73F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6075E771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地球的歷史</w:t>
            </w:r>
          </w:p>
        </w:tc>
        <w:tc>
          <w:tcPr>
            <w:tcW w:w="6520" w:type="dxa"/>
            <w:vAlign w:val="center"/>
          </w:tcPr>
          <w:p w14:paraId="263CC81F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地層與化石</w:t>
            </w:r>
          </w:p>
        </w:tc>
      </w:tr>
      <w:tr w:rsidR="00094222" w14:paraId="2F436316" w14:textId="77777777" w:rsidTr="00017E29">
        <w:tc>
          <w:tcPr>
            <w:tcW w:w="703" w:type="dxa"/>
            <w:vAlign w:val="center"/>
          </w:tcPr>
          <w:p w14:paraId="25ACCD5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822" w:type="dxa"/>
            <w:vMerge/>
            <w:vAlign w:val="center"/>
          </w:tcPr>
          <w:p w14:paraId="714F75CC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10670D78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變動的地球</w:t>
            </w:r>
          </w:p>
        </w:tc>
        <w:tc>
          <w:tcPr>
            <w:tcW w:w="6520" w:type="dxa"/>
            <w:vAlign w:val="center"/>
          </w:tcPr>
          <w:p w14:paraId="5C7C7FE5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地表與地殼的變動、天氣與氣候變化、海水的運動、晝夜與季節</w:t>
            </w:r>
          </w:p>
        </w:tc>
      </w:tr>
      <w:tr w:rsidR="00094222" w14:paraId="15A88320" w14:textId="77777777" w:rsidTr="00017E29">
        <w:tc>
          <w:tcPr>
            <w:tcW w:w="703" w:type="dxa"/>
            <w:vAlign w:val="center"/>
          </w:tcPr>
          <w:p w14:paraId="473D163D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822" w:type="dxa"/>
            <w:vMerge/>
            <w:vAlign w:val="center"/>
          </w:tcPr>
          <w:p w14:paraId="0D8AF46F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26D00ABC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資源與永續發展</w:t>
            </w:r>
          </w:p>
        </w:tc>
        <w:tc>
          <w:tcPr>
            <w:tcW w:w="6520" w:type="dxa"/>
            <w:vAlign w:val="center"/>
          </w:tcPr>
          <w:p w14:paraId="1638A1EB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永續發展與資源的利用、氣候變遷之影響與調適、能源的開發與利用</w:t>
            </w:r>
          </w:p>
        </w:tc>
      </w:tr>
      <w:tr w:rsidR="00094222" w14:paraId="24B300BC" w14:textId="77777777" w:rsidTr="00017E29">
        <w:tc>
          <w:tcPr>
            <w:tcW w:w="703" w:type="dxa"/>
            <w:vAlign w:val="center"/>
          </w:tcPr>
          <w:p w14:paraId="7CBB126D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822" w:type="dxa"/>
            <w:vMerge/>
            <w:vAlign w:val="center"/>
          </w:tcPr>
          <w:p w14:paraId="2FBEDB75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47F5D4B8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科學、科技、社會及人文</w:t>
            </w:r>
          </w:p>
        </w:tc>
        <w:tc>
          <w:tcPr>
            <w:tcW w:w="6520" w:type="dxa"/>
            <w:vAlign w:val="center"/>
          </w:tcPr>
          <w:p w14:paraId="3CEE800B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科學、技術及社會的互動關係、科學發展的歷史、科學在生活中的應用、天然災害與防治、環境汙染與防治</w:t>
            </w:r>
          </w:p>
        </w:tc>
      </w:tr>
      <w:tr w:rsidR="00094222" w14:paraId="6CA5356E" w14:textId="77777777" w:rsidTr="00017E29">
        <w:tc>
          <w:tcPr>
            <w:tcW w:w="703" w:type="dxa"/>
            <w:vAlign w:val="center"/>
          </w:tcPr>
          <w:p w14:paraId="023004DE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822" w:type="dxa"/>
            <w:vAlign w:val="center"/>
          </w:tcPr>
          <w:p w14:paraId="07376097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跨科主題</w:t>
            </w:r>
          </w:p>
        </w:tc>
        <w:tc>
          <w:tcPr>
            <w:tcW w:w="2156" w:type="dxa"/>
            <w:vAlign w:val="center"/>
          </w:tcPr>
          <w:p w14:paraId="72812D36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20" w:type="dxa"/>
            <w:vAlign w:val="center"/>
          </w:tcPr>
          <w:p w14:paraId="60B075D4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從原子到宇宙、能量與能源、全球氣候變遷與調適</w:t>
            </w:r>
          </w:p>
        </w:tc>
      </w:tr>
    </w:tbl>
    <w:p w14:paraId="18FFC0FD" w14:textId="77777777"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【藝術領域】</w:t>
      </w:r>
    </w:p>
    <w:tbl>
      <w:tblPr>
        <w:tblStyle w:val="afe"/>
        <w:tblW w:w="10201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822"/>
        <w:gridCol w:w="2156"/>
        <w:gridCol w:w="6520"/>
      </w:tblGrid>
      <w:tr w:rsidR="00094222" w14:paraId="0735EFDC" w14:textId="77777777" w:rsidTr="00017E29">
        <w:trPr>
          <w:trHeight w:val="70"/>
        </w:trPr>
        <w:tc>
          <w:tcPr>
            <w:tcW w:w="703" w:type="dxa"/>
            <w:shd w:val="clear" w:color="auto" w:fill="F2F2F2"/>
            <w:vAlign w:val="center"/>
          </w:tcPr>
          <w:p w14:paraId="269B5F7C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822" w:type="dxa"/>
            <w:shd w:val="clear" w:color="auto" w:fill="F2F2F2"/>
            <w:vAlign w:val="center"/>
          </w:tcPr>
          <w:p w14:paraId="31AAED04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科目</w:t>
            </w:r>
          </w:p>
        </w:tc>
        <w:tc>
          <w:tcPr>
            <w:tcW w:w="2156" w:type="dxa"/>
            <w:shd w:val="clear" w:color="auto" w:fill="F2F2F2"/>
            <w:vAlign w:val="center"/>
          </w:tcPr>
          <w:p w14:paraId="05538B8C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核心概念</w:t>
            </w:r>
          </w:p>
        </w:tc>
        <w:tc>
          <w:tcPr>
            <w:tcW w:w="6520" w:type="dxa"/>
            <w:shd w:val="clear" w:color="auto" w:fill="F2F2F2"/>
            <w:vAlign w:val="center"/>
          </w:tcPr>
          <w:p w14:paraId="711D2C35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</w:tr>
      <w:tr w:rsidR="00094222" w14:paraId="5299EAB2" w14:textId="77777777" w:rsidTr="00017E29">
        <w:tc>
          <w:tcPr>
            <w:tcW w:w="703" w:type="dxa"/>
            <w:vAlign w:val="center"/>
          </w:tcPr>
          <w:p w14:paraId="3B3F6F1D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22" w:type="dxa"/>
            <w:vMerge w:val="restart"/>
            <w:vAlign w:val="center"/>
          </w:tcPr>
          <w:p w14:paraId="0B967B1D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音樂</w:t>
            </w:r>
          </w:p>
        </w:tc>
        <w:tc>
          <w:tcPr>
            <w:tcW w:w="2156" w:type="dxa"/>
            <w:vAlign w:val="center"/>
          </w:tcPr>
          <w:p w14:paraId="26FDB744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歌唱演奏</w:t>
            </w:r>
          </w:p>
        </w:tc>
        <w:tc>
          <w:tcPr>
            <w:tcW w:w="6520" w:type="dxa"/>
            <w:vAlign w:val="center"/>
          </w:tcPr>
          <w:p w14:paraId="6E6C7A3A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歌唱、演奏、樂理、指揮</w:t>
            </w:r>
          </w:p>
        </w:tc>
      </w:tr>
      <w:tr w:rsidR="00094222" w14:paraId="101456CD" w14:textId="77777777" w:rsidTr="00017E29">
        <w:tc>
          <w:tcPr>
            <w:tcW w:w="703" w:type="dxa"/>
            <w:vAlign w:val="center"/>
          </w:tcPr>
          <w:p w14:paraId="75CD9098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822" w:type="dxa"/>
            <w:vMerge/>
            <w:vAlign w:val="center"/>
          </w:tcPr>
          <w:p w14:paraId="6A310091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74EFA37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創作展現</w:t>
            </w:r>
          </w:p>
        </w:tc>
        <w:tc>
          <w:tcPr>
            <w:tcW w:w="6520" w:type="dxa"/>
            <w:vAlign w:val="center"/>
          </w:tcPr>
          <w:p w14:paraId="286043C3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創作手法、作曲、其他</w:t>
            </w:r>
          </w:p>
        </w:tc>
      </w:tr>
      <w:tr w:rsidR="00094222" w14:paraId="69BE208E" w14:textId="77777777" w:rsidTr="00017E29">
        <w:tc>
          <w:tcPr>
            <w:tcW w:w="703" w:type="dxa"/>
            <w:vAlign w:val="center"/>
          </w:tcPr>
          <w:p w14:paraId="7752AA78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822" w:type="dxa"/>
            <w:vMerge/>
            <w:vAlign w:val="center"/>
          </w:tcPr>
          <w:p w14:paraId="3962C00B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1C6E48FB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審美感知與理解</w:t>
            </w:r>
          </w:p>
        </w:tc>
        <w:tc>
          <w:tcPr>
            <w:tcW w:w="6520" w:type="dxa"/>
            <w:vAlign w:val="center"/>
          </w:tcPr>
          <w:p w14:paraId="4DF276A3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西洋音樂各時期風格與作品、二十世紀與之後的音樂風格與作品、臺灣音樂、世界音樂</w:t>
            </w:r>
          </w:p>
        </w:tc>
      </w:tr>
      <w:tr w:rsidR="00094222" w14:paraId="2B26DC95" w14:textId="77777777" w:rsidTr="00017E29">
        <w:tc>
          <w:tcPr>
            <w:tcW w:w="703" w:type="dxa"/>
            <w:vAlign w:val="center"/>
          </w:tcPr>
          <w:p w14:paraId="3DF3E385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822" w:type="dxa"/>
            <w:vMerge/>
            <w:vAlign w:val="center"/>
          </w:tcPr>
          <w:p w14:paraId="506C296D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607E18B5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音樂類型</w:t>
            </w:r>
          </w:p>
        </w:tc>
        <w:tc>
          <w:tcPr>
            <w:tcW w:w="6520" w:type="dxa"/>
            <w:vAlign w:val="center"/>
          </w:tcPr>
          <w:p w14:paraId="6086B6FC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聲樂、器樂、複合型(歌劇、音樂劇等)、其他</w:t>
            </w:r>
          </w:p>
        </w:tc>
      </w:tr>
      <w:tr w:rsidR="00094222" w14:paraId="0B13EB37" w14:textId="77777777" w:rsidTr="00017E29">
        <w:tc>
          <w:tcPr>
            <w:tcW w:w="703" w:type="dxa"/>
            <w:vAlign w:val="center"/>
          </w:tcPr>
          <w:p w14:paraId="0CE8FD59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822" w:type="dxa"/>
            <w:vMerge w:val="restart"/>
            <w:vAlign w:val="center"/>
          </w:tcPr>
          <w:p w14:paraId="614C022B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視覺藝術</w:t>
            </w:r>
          </w:p>
        </w:tc>
        <w:tc>
          <w:tcPr>
            <w:tcW w:w="2156" w:type="dxa"/>
            <w:vAlign w:val="center"/>
          </w:tcPr>
          <w:p w14:paraId="3BFC065C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創作表現</w:t>
            </w:r>
          </w:p>
        </w:tc>
        <w:tc>
          <w:tcPr>
            <w:tcW w:w="6520" w:type="dxa"/>
            <w:vAlign w:val="center"/>
          </w:tcPr>
          <w:p w14:paraId="4E8CCFFD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色彩理論、美的形式原理與構成原理、表現技法</w:t>
            </w:r>
          </w:p>
        </w:tc>
      </w:tr>
      <w:tr w:rsidR="00094222" w14:paraId="3108252A" w14:textId="77777777" w:rsidTr="00017E29">
        <w:tc>
          <w:tcPr>
            <w:tcW w:w="703" w:type="dxa"/>
            <w:vAlign w:val="center"/>
          </w:tcPr>
          <w:p w14:paraId="16334957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822" w:type="dxa"/>
            <w:vMerge/>
            <w:vAlign w:val="center"/>
          </w:tcPr>
          <w:p w14:paraId="48915676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0AAECE21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藝術欣賞</w:t>
            </w:r>
          </w:p>
        </w:tc>
        <w:tc>
          <w:tcPr>
            <w:tcW w:w="6520" w:type="dxa"/>
            <w:vAlign w:val="center"/>
          </w:tcPr>
          <w:p w14:paraId="6F26729F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藝術鑑賞、藝術風格(藝術史)、區域及各族群藝術</w:t>
            </w:r>
          </w:p>
        </w:tc>
      </w:tr>
      <w:tr w:rsidR="00094222" w14:paraId="082834A5" w14:textId="77777777" w:rsidTr="00017E29">
        <w:tc>
          <w:tcPr>
            <w:tcW w:w="703" w:type="dxa"/>
            <w:vAlign w:val="center"/>
          </w:tcPr>
          <w:p w14:paraId="20868936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822" w:type="dxa"/>
            <w:vMerge/>
            <w:vAlign w:val="center"/>
          </w:tcPr>
          <w:p w14:paraId="644AA4FF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1EA8B650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生活應用</w:t>
            </w:r>
          </w:p>
        </w:tc>
        <w:tc>
          <w:tcPr>
            <w:tcW w:w="6520" w:type="dxa"/>
            <w:vAlign w:val="center"/>
          </w:tcPr>
          <w:p w14:paraId="4966CF36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校本課程、主題式課程、展覽策劃與執行、設計思考、生活美感、藝術工作者與藝術生涯規劃</w:t>
            </w:r>
          </w:p>
        </w:tc>
      </w:tr>
      <w:tr w:rsidR="00094222" w14:paraId="781A151C" w14:textId="77777777" w:rsidTr="00017E29">
        <w:tc>
          <w:tcPr>
            <w:tcW w:w="703" w:type="dxa"/>
            <w:vAlign w:val="center"/>
          </w:tcPr>
          <w:p w14:paraId="0978523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822" w:type="dxa"/>
            <w:vMerge w:val="restart"/>
            <w:vAlign w:val="center"/>
          </w:tcPr>
          <w:p w14:paraId="67F7E61E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表演藝術</w:t>
            </w:r>
          </w:p>
        </w:tc>
        <w:tc>
          <w:tcPr>
            <w:tcW w:w="2156" w:type="dxa"/>
            <w:vAlign w:val="center"/>
          </w:tcPr>
          <w:p w14:paraId="2C4405A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戲劇</w:t>
            </w:r>
          </w:p>
        </w:tc>
        <w:tc>
          <w:tcPr>
            <w:tcW w:w="6520" w:type="dxa"/>
            <w:vAlign w:val="center"/>
          </w:tcPr>
          <w:p w14:paraId="489ADCEC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戲劇史、啞/默劇、說唱藝術、傳統戲曲、偶戲、音樂劇/音樂歌舞劇、說故事劇場、教育戲劇、其他</w:t>
            </w:r>
          </w:p>
        </w:tc>
      </w:tr>
      <w:tr w:rsidR="00094222" w14:paraId="2ECCB75B" w14:textId="77777777" w:rsidTr="00017E29">
        <w:tc>
          <w:tcPr>
            <w:tcW w:w="703" w:type="dxa"/>
            <w:vAlign w:val="center"/>
          </w:tcPr>
          <w:p w14:paraId="1BA8C909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822" w:type="dxa"/>
            <w:vMerge/>
            <w:vAlign w:val="center"/>
          </w:tcPr>
          <w:p w14:paraId="35352D78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541E2E35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舞蹈</w:t>
            </w:r>
          </w:p>
        </w:tc>
        <w:tc>
          <w:tcPr>
            <w:tcW w:w="6520" w:type="dxa"/>
            <w:vAlign w:val="center"/>
          </w:tcPr>
          <w:p w14:paraId="24DF8A63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芭蕾、現代舞、街舞、臺灣舞蹈、世界舞蹈、其他</w:t>
            </w:r>
          </w:p>
        </w:tc>
      </w:tr>
      <w:tr w:rsidR="00094222" w14:paraId="2E0F36BE" w14:textId="77777777" w:rsidTr="00017E29">
        <w:tc>
          <w:tcPr>
            <w:tcW w:w="703" w:type="dxa"/>
            <w:vAlign w:val="center"/>
          </w:tcPr>
          <w:p w14:paraId="7EA2EB28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822" w:type="dxa"/>
            <w:vMerge/>
            <w:vAlign w:val="center"/>
          </w:tcPr>
          <w:p w14:paraId="4B245A36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4CA5AD0C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表演元素</w:t>
            </w:r>
          </w:p>
        </w:tc>
        <w:tc>
          <w:tcPr>
            <w:tcW w:w="6520" w:type="dxa"/>
            <w:vAlign w:val="center"/>
          </w:tcPr>
          <w:p w14:paraId="0AEC80A0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肢體、聲音、其他</w:t>
            </w:r>
          </w:p>
        </w:tc>
      </w:tr>
      <w:tr w:rsidR="00094222" w14:paraId="404E273C" w14:textId="77777777" w:rsidTr="00017E29">
        <w:tc>
          <w:tcPr>
            <w:tcW w:w="703" w:type="dxa"/>
            <w:vAlign w:val="center"/>
          </w:tcPr>
          <w:p w14:paraId="18B3EED8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822" w:type="dxa"/>
            <w:vMerge/>
            <w:vAlign w:val="center"/>
          </w:tcPr>
          <w:p w14:paraId="49DE8373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7865A858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展演與實務</w:t>
            </w:r>
          </w:p>
        </w:tc>
        <w:tc>
          <w:tcPr>
            <w:tcW w:w="6520" w:type="dxa"/>
            <w:vAlign w:val="center"/>
          </w:tcPr>
          <w:p w14:paraId="6EF82270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劇場行政、編劇、導演、展演場地、舞臺、燈光、化妝、服裝、道具、其他</w:t>
            </w:r>
          </w:p>
        </w:tc>
      </w:tr>
      <w:tr w:rsidR="00094222" w14:paraId="501891E5" w14:textId="77777777" w:rsidTr="00017E29">
        <w:tc>
          <w:tcPr>
            <w:tcW w:w="703" w:type="dxa"/>
            <w:vAlign w:val="center"/>
          </w:tcPr>
          <w:p w14:paraId="11440F14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12</w:t>
            </w:r>
          </w:p>
        </w:tc>
        <w:tc>
          <w:tcPr>
            <w:tcW w:w="822" w:type="dxa"/>
            <w:vMerge/>
            <w:vAlign w:val="center"/>
          </w:tcPr>
          <w:p w14:paraId="7B03236A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42729FB4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影視多媒體</w:t>
            </w:r>
          </w:p>
        </w:tc>
        <w:tc>
          <w:tcPr>
            <w:tcW w:w="6520" w:type="dxa"/>
            <w:vAlign w:val="center"/>
          </w:tcPr>
          <w:p w14:paraId="4265A285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(新)媒體、電影/微電影、其他</w:t>
            </w:r>
          </w:p>
        </w:tc>
      </w:tr>
    </w:tbl>
    <w:p w14:paraId="59A1E644" w14:textId="77777777"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【綜合領域】</w:t>
      </w:r>
    </w:p>
    <w:tbl>
      <w:tblPr>
        <w:tblStyle w:val="aff"/>
        <w:tblW w:w="10201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822"/>
        <w:gridCol w:w="2156"/>
        <w:gridCol w:w="6520"/>
      </w:tblGrid>
      <w:tr w:rsidR="00094222" w14:paraId="4C2C7CA2" w14:textId="77777777" w:rsidTr="00017E29">
        <w:trPr>
          <w:trHeight w:val="70"/>
        </w:trPr>
        <w:tc>
          <w:tcPr>
            <w:tcW w:w="703" w:type="dxa"/>
            <w:shd w:val="clear" w:color="auto" w:fill="F2F2F2"/>
            <w:vAlign w:val="center"/>
          </w:tcPr>
          <w:p w14:paraId="330BA402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822" w:type="dxa"/>
            <w:shd w:val="clear" w:color="auto" w:fill="F2F2F2"/>
            <w:vAlign w:val="center"/>
          </w:tcPr>
          <w:p w14:paraId="609FAA61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科目</w:t>
            </w:r>
          </w:p>
        </w:tc>
        <w:tc>
          <w:tcPr>
            <w:tcW w:w="2156" w:type="dxa"/>
            <w:shd w:val="clear" w:color="auto" w:fill="F2F2F2"/>
            <w:vAlign w:val="center"/>
          </w:tcPr>
          <w:p w14:paraId="68583A48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核心概念</w:t>
            </w:r>
          </w:p>
        </w:tc>
        <w:tc>
          <w:tcPr>
            <w:tcW w:w="6520" w:type="dxa"/>
            <w:shd w:val="clear" w:color="auto" w:fill="F2F2F2"/>
            <w:vAlign w:val="center"/>
          </w:tcPr>
          <w:p w14:paraId="1BC0BD57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</w:tr>
      <w:tr w:rsidR="00094222" w14:paraId="54F08D49" w14:textId="77777777" w:rsidTr="00017E29">
        <w:tc>
          <w:tcPr>
            <w:tcW w:w="703" w:type="dxa"/>
            <w:vAlign w:val="center"/>
          </w:tcPr>
          <w:p w14:paraId="61B63E5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22" w:type="dxa"/>
            <w:vMerge w:val="restart"/>
            <w:vAlign w:val="center"/>
          </w:tcPr>
          <w:p w14:paraId="2783B574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家政</w:t>
            </w:r>
          </w:p>
        </w:tc>
        <w:tc>
          <w:tcPr>
            <w:tcW w:w="2156" w:type="dxa"/>
            <w:vAlign w:val="center"/>
          </w:tcPr>
          <w:p w14:paraId="02D4EF0C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飲食</w:t>
            </w:r>
          </w:p>
        </w:tc>
        <w:tc>
          <w:tcPr>
            <w:tcW w:w="6520" w:type="dxa"/>
            <w:vAlign w:val="center"/>
          </w:tcPr>
          <w:p w14:paraId="3DE352E9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飲食行為與綠色生活、食物資源的管理與運用、食品安全</w:t>
            </w:r>
          </w:p>
        </w:tc>
      </w:tr>
      <w:tr w:rsidR="00094222" w14:paraId="697BE573" w14:textId="77777777" w:rsidTr="00017E29">
        <w:tc>
          <w:tcPr>
            <w:tcW w:w="703" w:type="dxa"/>
            <w:vAlign w:val="center"/>
          </w:tcPr>
          <w:p w14:paraId="2B6915CB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822" w:type="dxa"/>
            <w:vMerge/>
            <w:vAlign w:val="center"/>
          </w:tcPr>
          <w:p w14:paraId="7975D247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3810DD36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衣著</w:t>
            </w:r>
          </w:p>
        </w:tc>
        <w:tc>
          <w:tcPr>
            <w:tcW w:w="6520" w:type="dxa"/>
            <w:vAlign w:val="center"/>
          </w:tcPr>
          <w:p w14:paraId="7A033E59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服飾管理與消費、服飾與形象管理、織品的生活運用</w:t>
            </w:r>
          </w:p>
        </w:tc>
      </w:tr>
      <w:tr w:rsidR="00094222" w14:paraId="5DE48471" w14:textId="77777777" w:rsidTr="00017E29">
        <w:tc>
          <w:tcPr>
            <w:tcW w:w="703" w:type="dxa"/>
            <w:vAlign w:val="center"/>
          </w:tcPr>
          <w:p w14:paraId="511E5633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822" w:type="dxa"/>
            <w:vMerge/>
            <w:vAlign w:val="center"/>
          </w:tcPr>
          <w:p w14:paraId="13DDD22C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3FD4AE30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生活管理</w:t>
            </w:r>
          </w:p>
        </w:tc>
        <w:tc>
          <w:tcPr>
            <w:tcW w:w="6520" w:type="dxa"/>
            <w:vAlign w:val="center"/>
          </w:tcPr>
          <w:p w14:paraId="5D2B36DC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個人及家庭資源管理、生活文化與禮儀、創意生活與美化</w:t>
            </w:r>
          </w:p>
        </w:tc>
      </w:tr>
      <w:tr w:rsidR="00094222" w14:paraId="13B4C2CA" w14:textId="77777777" w:rsidTr="00017E29">
        <w:tc>
          <w:tcPr>
            <w:tcW w:w="703" w:type="dxa"/>
            <w:vAlign w:val="center"/>
          </w:tcPr>
          <w:p w14:paraId="22B9B9D2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822" w:type="dxa"/>
            <w:vMerge/>
            <w:vAlign w:val="center"/>
          </w:tcPr>
          <w:p w14:paraId="4A1A6DCD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72F33A5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家庭</w:t>
            </w:r>
          </w:p>
        </w:tc>
        <w:tc>
          <w:tcPr>
            <w:tcW w:w="6520" w:type="dxa"/>
            <w:vAlign w:val="center"/>
          </w:tcPr>
          <w:p w14:paraId="781333BD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家人關係與經營、家庭的發展變化與調適、家庭活動與共學、家庭文化與傳承</w:t>
            </w:r>
          </w:p>
        </w:tc>
      </w:tr>
      <w:tr w:rsidR="00094222" w14:paraId="08964ACB" w14:textId="77777777" w:rsidTr="00017E29">
        <w:tc>
          <w:tcPr>
            <w:tcW w:w="703" w:type="dxa"/>
            <w:vAlign w:val="center"/>
          </w:tcPr>
          <w:p w14:paraId="18A16CDE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822" w:type="dxa"/>
            <w:vMerge w:val="restart"/>
            <w:vAlign w:val="center"/>
          </w:tcPr>
          <w:p w14:paraId="03DA3DF2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童軍</w:t>
            </w:r>
          </w:p>
        </w:tc>
        <w:tc>
          <w:tcPr>
            <w:tcW w:w="2156" w:type="dxa"/>
            <w:vAlign w:val="center"/>
          </w:tcPr>
          <w:p w14:paraId="6687105A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童軍精神與發展</w:t>
            </w:r>
          </w:p>
        </w:tc>
        <w:tc>
          <w:tcPr>
            <w:tcW w:w="6520" w:type="dxa"/>
            <w:vAlign w:val="center"/>
          </w:tcPr>
          <w:p w14:paraId="668B49AC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童軍精神、童軍發展</w:t>
            </w:r>
          </w:p>
        </w:tc>
      </w:tr>
      <w:tr w:rsidR="00094222" w14:paraId="6CEA2410" w14:textId="77777777" w:rsidTr="00017E29">
        <w:tc>
          <w:tcPr>
            <w:tcW w:w="703" w:type="dxa"/>
            <w:vAlign w:val="center"/>
          </w:tcPr>
          <w:p w14:paraId="08BFF22A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822" w:type="dxa"/>
            <w:vMerge/>
            <w:vAlign w:val="center"/>
          </w:tcPr>
          <w:p w14:paraId="46B9F360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66BA739A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服務行善與多元關懷</w:t>
            </w:r>
          </w:p>
        </w:tc>
        <w:tc>
          <w:tcPr>
            <w:tcW w:w="6520" w:type="dxa"/>
            <w:vAlign w:val="center"/>
          </w:tcPr>
          <w:p w14:paraId="19F1D0F6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服務精神、服務行善</w:t>
            </w:r>
          </w:p>
        </w:tc>
      </w:tr>
      <w:tr w:rsidR="00094222" w14:paraId="67CDD3EA" w14:textId="77777777" w:rsidTr="00017E29">
        <w:tc>
          <w:tcPr>
            <w:tcW w:w="703" w:type="dxa"/>
            <w:vAlign w:val="center"/>
          </w:tcPr>
          <w:p w14:paraId="6D766A94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822" w:type="dxa"/>
            <w:vMerge/>
            <w:vAlign w:val="center"/>
          </w:tcPr>
          <w:p w14:paraId="72E397D7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2044F87C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戶外生活與休閒知能</w:t>
            </w:r>
          </w:p>
        </w:tc>
        <w:tc>
          <w:tcPr>
            <w:tcW w:w="6520" w:type="dxa"/>
            <w:vAlign w:val="center"/>
          </w:tcPr>
          <w:p w14:paraId="10FD7DBF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野外旅行知能、露營知能、戶外休閒活動知能</w:t>
            </w:r>
          </w:p>
        </w:tc>
      </w:tr>
      <w:tr w:rsidR="00094222" w14:paraId="223BF184" w14:textId="77777777" w:rsidTr="00017E29">
        <w:tc>
          <w:tcPr>
            <w:tcW w:w="703" w:type="dxa"/>
            <w:vAlign w:val="center"/>
          </w:tcPr>
          <w:p w14:paraId="5E479571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822" w:type="dxa"/>
            <w:vMerge/>
            <w:vAlign w:val="center"/>
          </w:tcPr>
          <w:p w14:paraId="7B3CFD4B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6DCE2001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環境保育與永續</w:t>
            </w:r>
          </w:p>
        </w:tc>
        <w:tc>
          <w:tcPr>
            <w:tcW w:w="6520" w:type="dxa"/>
            <w:vAlign w:val="center"/>
          </w:tcPr>
          <w:p w14:paraId="17AEA6A6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野外與生活的環保、休閒遊憩與環保實踐、戶外休閒與環境議題</w:t>
            </w:r>
          </w:p>
        </w:tc>
      </w:tr>
      <w:tr w:rsidR="00094222" w14:paraId="18B4278F" w14:textId="77777777" w:rsidTr="00017E29">
        <w:tc>
          <w:tcPr>
            <w:tcW w:w="703" w:type="dxa"/>
            <w:vAlign w:val="center"/>
          </w:tcPr>
          <w:p w14:paraId="70AD2C2B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822" w:type="dxa"/>
            <w:vMerge w:val="restart"/>
            <w:vAlign w:val="center"/>
          </w:tcPr>
          <w:p w14:paraId="3E8457F2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輔導</w:t>
            </w:r>
          </w:p>
        </w:tc>
        <w:tc>
          <w:tcPr>
            <w:tcW w:w="2156" w:type="dxa"/>
            <w:vAlign w:val="center"/>
          </w:tcPr>
          <w:p w14:paraId="762EAF29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自我成長</w:t>
            </w:r>
          </w:p>
        </w:tc>
        <w:tc>
          <w:tcPr>
            <w:tcW w:w="6520" w:type="dxa"/>
            <w:vAlign w:val="center"/>
          </w:tcPr>
          <w:p w14:paraId="7802A656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自我探索與尊重差異、青少年身心發展與自我成長、珍視與尊重生命</w:t>
            </w:r>
          </w:p>
        </w:tc>
      </w:tr>
      <w:tr w:rsidR="00094222" w14:paraId="4FDFCB43" w14:textId="77777777" w:rsidTr="00017E29">
        <w:tc>
          <w:tcPr>
            <w:tcW w:w="703" w:type="dxa"/>
            <w:vAlign w:val="center"/>
          </w:tcPr>
          <w:p w14:paraId="525E453B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822" w:type="dxa"/>
            <w:vMerge/>
            <w:vAlign w:val="center"/>
          </w:tcPr>
          <w:p w14:paraId="0592CFB0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6C3651F3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自主學習</w:t>
            </w:r>
          </w:p>
        </w:tc>
        <w:tc>
          <w:tcPr>
            <w:tcW w:w="6520" w:type="dxa"/>
            <w:vAlign w:val="center"/>
          </w:tcPr>
          <w:p w14:paraId="7AF2CE43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自我管理與態度培養、學習策略與資源、高層次學習與多元學習</w:t>
            </w:r>
          </w:p>
        </w:tc>
      </w:tr>
      <w:tr w:rsidR="00094222" w14:paraId="572D87A1" w14:textId="77777777" w:rsidTr="00017E29">
        <w:tc>
          <w:tcPr>
            <w:tcW w:w="703" w:type="dxa"/>
            <w:vAlign w:val="center"/>
          </w:tcPr>
          <w:p w14:paraId="5785AAF8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822" w:type="dxa"/>
            <w:vMerge/>
            <w:vAlign w:val="center"/>
          </w:tcPr>
          <w:p w14:paraId="3DFCDFEF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2927A69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生涯發展</w:t>
            </w:r>
          </w:p>
        </w:tc>
        <w:tc>
          <w:tcPr>
            <w:tcW w:w="6520" w:type="dxa"/>
            <w:vAlign w:val="center"/>
          </w:tcPr>
          <w:p w14:paraId="712FF095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生涯發展與個人統整、教育進路與職</w:t>
            </w:r>
            <w:proofErr w:type="gramStart"/>
            <w:r>
              <w:rPr>
                <w:rFonts w:ascii="標楷體" w:eastAsia="標楷體" w:hAnsi="標楷體" w:cs="標楷體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</w:rPr>
              <w:t>發展、生涯規劃、抉擇與行動</w:t>
            </w:r>
          </w:p>
        </w:tc>
      </w:tr>
      <w:tr w:rsidR="00094222" w14:paraId="7EA83AF2" w14:textId="77777777" w:rsidTr="00017E29">
        <w:tc>
          <w:tcPr>
            <w:tcW w:w="703" w:type="dxa"/>
            <w:vAlign w:val="center"/>
          </w:tcPr>
          <w:p w14:paraId="08B8FCF0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822" w:type="dxa"/>
            <w:vMerge/>
            <w:vAlign w:val="center"/>
          </w:tcPr>
          <w:p w14:paraId="3BCC47AC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26E66C13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生活適應</w:t>
            </w:r>
          </w:p>
        </w:tc>
        <w:tc>
          <w:tcPr>
            <w:tcW w:w="6520" w:type="dxa"/>
            <w:vAlign w:val="center"/>
          </w:tcPr>
          <w:p w14:paraId="70CCDF87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正向習性與心理調適、生活困擾與危機因應、人際關係與團體互動、性別與多元文化社會</w:t>
            </w:r>
          </w:p>
        </w:tc>
      </w:tr>
    </w:tbl>
    <w:p w14:paraId="16EA4E54" w14:textId="77777777"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14:paraId="35CB9C19" w14:textId="77777777"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14:paraId="5F302BAB" w14:textId="77777777"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14:paraId="56082EFD" w14:textId="77777777"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14:paraId="12FF8105" w14:textId="77777777"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14:paraId="6F055FE0" w14:textId="77777777"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【科技領域】</w:t>
      </w:r>
    </w:p>
    <w:tbl>
      <w:tblPr>
        <w:tblStyle w:val="aff0"/>
        <w:tblW w:w="10201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822"/>
        <w:gridCol w:w="2156"/>
        <w:gridCol w:w="6520"/>
      </w:tblGrid>
      <w:tr w:rsidR="00094222" w14:paraId="03E75B63" w14:textId="77777777" w:rsidTr="00017E29">
        <w:trPr>
          <w:trHeight w:val="70"/>
        </w:trPr>
        <w:tc>
          <w:tcPr>
            <w:tcW w:w="703" w:type="dxa"/>
            <w:shd w:val="clear" w:color="auto" w:fill="F2F2F2"/>
            <w:vAlign w:val="center"/>
          </w:tcPr>
          <w:p w14:paraId="3C3C0405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822" w:type="dxa"/>
            <w:shd w:val="clear" w:color="auto" w:fill="F2F2F2"/>
            <w:vAlign w:val="center"/>
          </w:tcPr>
          <w:p w14:paraId="6573002B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科目</w:t>
            </w:r>
          </w:p>
        </w:tc>
        <w:tc>
          <w:tcPr>
            <w:tcW w:w="2156" w:type="dxa"/>
            <w:shd w:val="clear" w:color="auto" w:fill="F2F2F2"/>
            <w:vAlign w:val="center"/>
          </w:tcPr>
          <w:p w14:paraId="07DA4EFC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核心概念</w:t>
            </w:r>
          </w:p>
        </w:tc>
        <w:tc>
          <w:tcPr>
            <w:tcW w:w="6520" w:type="dxa"/>
            <w:shd w:val="clear" w:color="auto" w:fill="F2F2F2"/>
            <w:vAlign w:val="center"/>
          </w:tcPr>
          <w:p w14:paraId="5D14D976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</w:tr>
      <w:tr w:rsidR="00094222" w14:paraId="45028779" w14:textId="77777777" w:rsidTr="00017E29">
        <w:tc>
          <w:tcPr>
            <w:tcW w:w="703" w:type="dxa"/>
            <w:vAlign w:val="center"/>
          </w:tcPr>
          <w:p w14:paraId="5DA99E6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22" w:type="dxa"/>
            <w:vMerge w:val="restart"/>
            <w:vAlign w:val="center"/>
          </w:tcPr>
          <w:p w14:paraId="4F2FEE60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資訊科技</w:t>
            </w:r>
          </w:p>
        </w:tc>
        <w:tc>
          <w:tcPr>
            <w:tcW w:w="2156" w:type="dxa"/>
            <w:vAlign w:val="center"/>
          </w:tcPr>
          <w:p w14:paraId="7CD8C1D9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演算法</w:t>
            </w:r>
          </w:p>
        </w:tc>
        <w:tc>
          <w:tcPr>
            <w:tcW w:w="6520" w:type="dxa"/>
            <w:vAlign w:val="center"/>
          </w:tcPr>
          <w:p w14:paraId="22918E08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演算法基本概念(問題解析、流程控制)、陣列資料結構的概念與應用、基本演算法的介紹(搜尋、排序)、陣列程式設計</w:t>
            </w:r>
            <w:r>
              <w:rPr>
                <w:rFonts w:ascii="標楷體" w:eastAsia="標楷體" w:hAnsi="標楷體" w:cs="標楷體"/>
              </w:rPr>
              <w:lastRenderedPageBreak/>
              <w:t>實作</w:t>
            </w:r>
          </w:p>
        </w:tc>
      </w:tr>
      <w:tr w:rsidR="00094222" w14:paraId="5BBBC1E2" w14:textId="77777777" w:rsidTr="00017E29">
        <w:tc>
          <w:tcPr>
            <w:tcW w:w="703" w:type="dxa"/>
            <w:vAlign w:val="center"/>
          </w:tcPr>
          <w:p w14:paraId="0D13FA23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2</w:t>
            </w:r>
          </w:p>
        </w:tc>
        <w:tc>
          <w:tcPr>
            <w:tcW w:w="822" w:type="dxa"/>
            <w:vMerge/>
            <w:vAlign w:val="center"/>
          </w:tcPr>
          <w:p w14:paraId="526FC7A3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254A9787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程式設計</w:t>
            </w:r>
          </w:p>
        </w:tc>
        <w:tc>
          <w:tcPr>
            <w:tcW w:w="6520" w:type="dxa"/>
            <w:vAlign w:val="center"/>
          </w:tcPr>
          <w:p w14:paraId="39A3CB51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程式語言基本概念、功能及應用、結構化程式設計(循序、選擇、重複)、模組化程式設計的概念、模組化程式設計與問題解決實作</w:t>
            </w:r>
          </w:p>
        </w:tc>
      </w:tr>
      <w:tr w:rsidR="00094222" w14:paraId="1898C9F2" w14:textId="77777777" w:rsidTr="00017E29">
        <w:tc>
          <w:tcPr>
            <w:tcW w:w="703" w:type="dxa"/>
            <w:vAlign w:val="center"/>
          </w:tcPr>
          <w:p w14:paraId="4D09E4AD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822" w:type="dxa"/>
            <w:vMerge/>
            <w:vAlign w:val="center"/>
          </w:tcPr>
          <w:p w14:paraId="0F969811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1F548823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系統平</w:t>
            </w: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</w:p>
        </w:tc>
        <w:tc>
          <w:tcPr>
            <w:tcW w:w="6520" w:type="dxa"/>
            <w:vAlign w:val="center"/>
          </w:tcPr>
          <w:p w14:paraId="08F776E4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系統平</w:t>
            </w: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</w:rPr>
              <w:t>重要發展與演進、系統平</w:t>
            </w: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</w:rPr>
              <w:t>之組成架構與基本運作原理、</w:t>
            </w:r>
          </w:p>
        </w:tc>
      </w:tr>
      <w:tr w:rsidR="00094222" w14:paraId="10C32231" w14:textId="77777777" w:rsidTr="00017E29">
        <w:tc>
          <w:tcPr>
            <w:tcW w:w="703" w:type="dxa"/>
            <w:vAlign w:val="center"/>
          </w:tcPr>
          <w:p w14:paraId="3887F679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822" w:type="dxa"/>
            <w:vMerge/>
            <w:vAlign w:val="center"/>
          </w:tcPr>
          <w:p w14:paraId="53074437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58D0DE07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資料表示、處理及分析</w:t>
            </w:r>
          </w:p>
        </w:tc>
        <w:tc>
          <w:tcPr>
            <w:tcW w:w="6520" w:type="dxa"/>
            <w:vAlign w:val="center"/>
          </w:tcPr>
          <w:p w14:paraId="5FE28988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資料處理應用專題、個人資料保護、網路技術的概念與介紹、網路服務的概念與介紹、資料數位化之原理與方法、數位資料的表示方法、資料處理概念與方法</w:t>
            </w:r>
          </w:p>
        </w:tc>
      </w:tr>
      <w:tr w:rsidR="00094222" w14:paraId="5CD7EEF1" w14:textId="77777777" w:rsidTr="00017E29">
        <w:tc>
          <w:tcPr>
            <w:tcW w:w="703" w:type="dxa"/>
            <w:vAlign w:val="center"/>
          </w:tcPr>
          <w:p w14:paraId="290367FA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822" w:type="dxa"/>
            <w:vMerge/>
            <w:vAlign w:val="center"/>
          </w:tcPr>
          <w:p w14:paraId="02B8A1D0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002460B0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資訊科技應用</w:t>
            </w:r>
          </w:p>
        </w:tc>
        <w:tc>
          <w:tcPr>
            <w:tcW w:w="6520" w:type="dxa"/>
            <w:vAlign w:val="center"/>
          </w:tcPr>
          <w:p w14:paraId="0E9DF54B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資訊科技合理使用原則、資訊安全、資訊科技應用專題(程式設計)、資訊科技應用專題(多媒體)</w:t>
            </w:r>
          </w:p>
        </w:tc>
      </w:tr>
      <w:tr w:rsidR="00094222" w14:paraId="54BBA1BD" w14:textId="77777777" w:rsidTr="00017E29">
        <w:tc>
          <w:tcPr>
            <w:tcW w:w="703" w:type="dxa"/>
            <w:vAlign w:val="center"/>
          </w:tcPr>
          <w:p w14:paraId="62F6860A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822" w:type="dxa"/>
            <w:vMerge/>
            <w:vAlign w:val="center"/>
          </w:tcPr>
          <w:p w14:paraId="26811C74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422D5A6B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資訊科技與人類社會</w:t>
            </w:r>
          </w:p>
        </w:tc>
        <w:tc>
          <w:tcPr>
            <w:tcW w:w="6520" w:type="dxa"/>
            <w:vAlign w:val="center"/>
          </w:tcPr>
          <w:p w14:paraId="60F29143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媒體與資訊科技相關社會議題、資訊倫理與法律、資訊科技對人類生活之影響、常見資訊產業的特性與種類</w:t>
            </w:r>
          </w:p>
        </w:tc>
      </w:tr>
      <w:tr w:rsidR="00094222" w14:paraId="692AE6E9" w14:textId="77777777" w:rsidTr="00017E29">
        <w:tc>
          <w:tcPr>
            <w:tcW w:w="703" w:type="dxa"/>
            <w:vAlign w:val="center"/>
          </w:tcPr>
          <w:p w14:paraId="3D38A6CD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822" w:type="dxa"/>
            <w:vMerge w:val="restart"/>
            <w:vAlign w:val="center"/>
          </w:tcPr>
          <w:p w14:paraId="4163E9D4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生活科技</w:t>
            </w:r>
          </w:p>
        </w:tc>
        <w:tc>
          <w:tcPr>
            <w:tcW w:w="2156" w:type="dxa"/>
            <w:vAlign w:val="center"/>
          </w:tcPr>
          <w:p w14:paraId="310E3E50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科技的本質</w:t>
            </w:r>
          </w:p>
        </w:tc>
        <w:tc>
          <w:tcPr>
            <w:tcW w:w="6520" w:type="dxa"/>
            <w:vAlign w:val="center"/>
          </w:tcPr>
          <w:p w14:paraId="0A7943CE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科技的起源與演進、科技的系統</w:t>
            </w:r>
          </w:p>
        </w:tc>
      </w:tr>
      <w:tr w:rsidR="00094222" w14:paraId="15045710" w14:textId="77777777" w:rsidTr="00017E29">
        <w:tc>
          <w:tcPr>
            <w:tcW w:w="703" w:type="dxa"/>
            <w:vAlign w:val="center"/>
          </w:tcPr>
          <w:p w14:paraId="2DE977E0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822" w:type="dxa"/>
            <w:vMerge/>
            <w:vAlign w:val="center"/>
          </w:tcPr>
          <w:p w14:paraId="70A8902F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0DB043AD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設計與製作</w:t>
            </w:r>
          </w:p>
        </w:tc>
        <w:tc>
          <w:tcPr>
            <w:tcW w:w="6520" w:type="dxa"/>
            <w:vAlign w:val="center"/>
          </w:tcPr>
          <w:p w14:paraId="3E210D34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創意思考的方法、設計圖的繪製、手工具的操作與使用、設計的流程、材料的選用與加工處理、常用的機具操作與使用、產品的設計與發展</w:t>
            </w:r>
          </w:p>
        </w:tc>
      </w:tr>
      <w:tr w:rsidR="00094222" w14:paraId="0BC8CC75" w14:textId="77777777" w:rsidTr="00017E29">
        <w:tc>
          <w:tcPr>
            <w:tcW w:w="703" w:type="dxa"/>
            <w:vAlign w:val="center"/>
          </w:tcPr>
          <w:p w14:paraId="628CCC1D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822" w:type="dxa"/>
            <w:vMerge/>
            <w:vAlign w:val="center"/>
          </w:tcPr>
          <w:p w14:paraId="4E7F636E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08164636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科技的應用</w:t>
            </w:r>
          </w:p>
        </w:tc>
        <w:tc>
          <w:tcPr>
            <w:tcW w:w="6520" w:type="dxa"/>
            <w:vAlign w:val="center"/>
          </w:tcPr>
          <w:p w14:paraId="59903186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日常科技產品的選用、日常科技產品的機構與結構應用、日常科技產品的保養與維護、日常科技產品的能源與動力應用、日常科技產品的電與控制應用、新興科技的應用</w:t>
            </w:r>
          </w:p>
        </w:tc>
      </w:tr>
      <w:tr w:rsidR="00094222" w14:paraId="53944BFD" w14:textId="77777777" w:rsidTr="00017E29">
        <w:tc>
          <w:tcPr>
            <w:tcW w:w="703" w:type="dxa"/>
            <w:vAlign w:val="center"/>
          </w:tcPr>
          <w:p w14:paraId="315851C3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822" w:type="dxa"/>
            <w:vMerge/>
            <w:vAlign w:val="center"/>
          </w:tcPr>
          <w:p w14:paraId="24457497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17969B07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科技與社會</w:t>
            </w:r>
          </w:p>
        </w:tc>
        <w:tc>
          <w:tcPr>
            <w:tcW w:w="6520" w:type="dxa"/>
            <w:vAlign w:val="center"/>
          </w:tcPr>
          <w:p w14:paraId="07C60AAD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科技與社會的互動關係、科技對社會與環境的影響、科技議題的探究、科技產業的發展</w:t>
            </w:r>
          </w:p>
        </w:tc>
      </w:tr>
      <w:tr w:rsidR="00094222" w14:paraId="1DD0DA8F" w14:textId="77777777" w:rsidTr="00017E29">
        <w:tc>
          <w:tcPr>
            <w:tcW w:w="703" w:type="dxa"/>
            <w:vAlign w:val="center"/>
          </w:tcPr>
          <w:p w14:paraId="7B340B23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822" w:type="dxa"/>
            <w:vMerge/>
            <w:vAlign w:val="center"/>
          </w:tcPr>
          <w:p w14:paraId="169C42F1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56" w:type="dxa"/>
            <w:vAlign w:val="center"/>
          </w:tcPr>
          <w:p w14:paraId="03C0C988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生涯發展</w:t>
            </w:r>
          </w:p>
        </w:tc>
        <w:tc>
          <w:tcPr>
            <w:tcW w:w="6520" w:type="dxa"/>
            <w:vAlign w:val="center"/>
          </w:tcPr>
          <w:p w14:paraId="16001FCE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生涯發展與個人統整、教育進路與職</w:t>
            </w:r>
            <w:proofErr w:type="gramStart"/>
            <w:r>
              <w:rPr>
                <w:rFonts w:ascii="標楷體" w:eastAsia="標楷體" w:hAnsi="標楷體" w:cs="標楷體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</w:rPr>
              <w:t>發展、生涯規劃、抉擇與行動</w:t>
            </w:r>
          </w:p>
        </w:tc>
      </w:tr>
    </w:tbl>
    <w:p w14:paraId="705D66AE" w14:textId="77777777" w:rsidR="00094222" w:rsidRDefault="00094222" w:rsidP="00094222">
      <w:pPr>
        <w:widowControl/>
        <w:spacing w:before="240" w:after="240"/>
        <w:rPr>
          <w:rFonts w:ascii="標楷體" w:eastAsia="標楷體" w:hAnsi="標楷體" w:cs="標楷體"/>
          <w:b/>
          <w:sz w:val="32"/>
          <w:szCs w:val="32"/>
        </w:rPr>
      </w:pPr>
    </w:p>
    <w:p w14:paraId="4A390D08" w14:textId="77777777" w:rsidR="00094222" w:rsidRDefault="00094222" w:rsidP="00094222">
      <w:pPr>
        <w:widowControl/>
        <w:spacing w:before="240" w:after="24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【健體領域】</w:t>
      </w:r>
    </w:p>
    <w:tbl>
      <w:tblPr>
        <w:tblStyle w:val="aff1"/>
        <w:tblW w:w="10201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2"/>
        <w:gridCol w:w="840"/>
        <w:gridCol w:w="2139"/>
        <w:gridCol w:w="6520"/>
      </w:tblGrid>
      <w:tr w:rsidR="00094222" w14:paraId="42CF7CF4" w14:textId="77777777" w:rsidTr="00017E29">
        <w:trPr>
          <w:trHeight w:val="70"/>
        </w:trPr>
        <w:tc>
          <w:tcPr>
            <w:tcW w:w="702" w:type="dxa"/>
            <w:shd w:val="clear" w:color="auto" w:fill="F2F2F2"/>
            <w:vAlign w:val="center"/>
          </w:tcPr>
          <w:p w14:paraId="09B5D46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840" w:type="dxa"/>
            <w:shd w:val="clear" w:color="auto" w:fill="F2F2F2"/>
            <w:vAlign w:val="center"/>
          </w:tcPr>
          <w:p w14:paraId="1FA368B7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科目</w:t>
            </w:r>
          </w:p>
        </w:tc>
        <w:tc>
          <w:tcPr>
            <w:tcW w:w="2139" w:type="dxa"/>
            <w:shd w:val="clear" w:color="auto" w:fill="F2F2F2"/>
            <w:vAlign w:val="center"/>
          </w:tcPr>
          <w:p w14:paraId="5AF4E568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核心概念</w:t>
            </w:r>
          </w:p>
        </w:tc>
        <w:tc>
          <w:tcPr>
            <w:tcW w:w="6520" w:type="dxa"/>
            <w:shd w:val="clear" w:color="auto" w:fill="F2F2F2"/>
            <w:vAlign w:val="center"/>
          </w:tcPr>
          <w:p w14:paraId="0011B814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</w:tr>
      <w:tr w:rsidR="00094222" w14:paraId="7B4D9CC2" w14:textId="77777777" w:rsidTr="00017E29">
        <w:tc>
          <w:tcPr>
            <w:tcW w:w="702" w:type="dxa"/>
            <w:vAlign w:val="center"/>
          </w:tcPr>
          <w:p w14:paraId="2CF9847E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840" w:type="dxa"/>
            <w:vMerge w:val="restart"/>
            <w:vAlign w:val="center"/>
          </w:tcPr>
          <w:p w14:paraId="7B5CB3CE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健康教育</w:t>
            </w:r>
          </w:p>
        </w:tc>
        <w:tc>
          <w:tcPr>
            <w:tcW w:w="2139" w:type="dxa"/>
            <w:vAlign w:val="center"/>
          </w:tcPr>
          <w:p w14:paraId="2E6AE477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生長、發展與體適能</w:t>
            </w:r>
          </w:p>
        </w:tc>
        <w:tc>
          <w:tcPr>
            <w:tcW w:w="6520" w:type="dxa"/>
            <w:vAlign w:val="center"/>
          </w:tcPr>
          <w:p w14:paraId="55CB822B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生長、發育、老化與死亡</w:t>
            </w:r>
          </w:p>
        </w:tc>
      </w:tr>
      <w:tr w:rsidR="00094222" w14:paraId="04252D3F" w14:textId="77777777" w:rsidTr="00017E29">
        <w:tc>
          <w:tcPr>
            <w:tcW w:w="702" w:type="dxa"/>
            <w:vAlign w:val="center"/>
          </w:tcPr>
          <w:p w14:paraId="6B83C951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840" w:type="dxa"/>
            <w:vMerge/>
            <w:vAlign w:val="center"/>
          </w:tcPr>
          <w:p w14:paraId="39CF1898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9" w:type="dxa"/>
            <w:vAlign w:val="center"/>
          </w:tcPr>
          <w:p w14:paraId="58EF55E9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安全生活與運動安全</w:t>
            </w:r>
          </w:p>
        </w:tc>
        <w:tc>
          <w:tcPr>
            <w:tcW w:w="6520" w:type="dxa"/>
            <w:vAlign w:val="center"/>
          </w:tcPr>
          <w:p w14:paraId="70BFAB8D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安全教育與急救、藥物教育</w:t>
            </w:r>
          </w:p>
        </w:tc>
      </w:tr>
      <w:tr w:rsidR="00094222" w14:paraId="269C953D" w14:textId="77777777" w:rsidTr="00017E29">
        <w:tc>
          <w:tcPr>
            <w:tcW w:w="702" w:type="dxa"/>
            <w:vAlign w:val="center"/>
          </w:tcPr>
          <w:p w14:paraId="21458874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840" w:type="dxa"/>
            <w:vMerge/>
            <w:vAlign w:val="center"/>
          </w:tcPr>
          <w:p w14:paraId="03909752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9" w:type="dxa"/>
            <w:vAlign w:val="center"/>
          </w:tcPr>
          <w:p w14:paraId="5D09DBB6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群體健康與運動參與</w:t>
            </w:r>
          </w:p>
        </w:tc>
        <w:tc>
          <w:tcPr>
            <w:tcW w:w="6520" w:type="dxa"/>
            <w:vAlign w:val="center"/>
          </w:tcPr>
          <w:p w14:paraId="5E3EB46D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健康環境</w:t>
            </w:r>
          </w:p>
        </w:tc>
      </w:tr>
      <w:tr w:rsidR="00094222" w14:paraId="084CF986" w14:textId="77777777" w:rsidTr="00017E29">
        <w:tc>
          <w:tcPr>
            <w:tcW w:w="702" w:type="dxa"/>
            <w:vAlign w:val="center"/>
          </w:tcPr>
          <w:p w14:paraId="6015FE41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840" w:type="dxa"/>
            <w:vMerge/>
            <w:vAlign w:val="center"/>
          </w:tcPr>
          <w:p w14:paraId="46C7ED30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9" w:type="dxa"/>
            <w:vAlign w:val="center"/>
          </w:tcPr>
          <w:p w14:paraId="7EE321A7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個人衛生與性教育身心健康與疾病預防</w:t>
            </w:r>
          </w:p>
        </w:tc>
        <w:tc>
          <w:tcPr>
            <w:tcW w:w="6520" w:type="dxa"/>
            <w:vAlign w:val="center"/>
          </w:tcPr>
          <w:p w14:paraId="6A8EEDFD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個人衛生與保健、性教育</w:t>
            </w:r>
          </w:p>
        </w:tc>
      </w:tr>
      <w:tr w:rsidR="00094222" w14:paraId="6285AEE7" w14:textId="77777777" w:rsidTr="00017E29">
        <w:tc>
          <w:tcPr>
            <w:tcW w:w="702" w:type="dxa"/>
            <w:vAlign w:val="center"/>
          </w:tcPr>
          <w:p w14:paraId="0C0D51C4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840" w:type="dxa"/>
            <w:vMerge/>
            <w:vAlign w:val="center"/>
          </w:tcPr>
          <w:p w14:paraId="760675A3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9" w:type="dxa"/>
            <w:vAlign w:val="center"/>
          </w:tcPr>
          <w:p w14:paraId="70DBD936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人、食物與健康消費</w:t>
            </w:r>
          </w:p>
        </w:tc>
        <w:tc>
          <w:tcPr>
            <w:tcW w:w="6520" w:type="dxa"/>
            <w:vAlign w:val="center"/>
          </w:tcPr>
          <w:p w14:paraId="3D28D525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人與食物、健康消費</w:t>
            </w:r>
          </w:p>
        </w:tc>
      </w:tr>
      <w:tr w:rsidR="00094222" w14:paraId="5E1BB53C" w14:textId="77777777" w:rsidTr="00017E29">
        <w:tc>
          <w:tcPr>
            <w:tcW w:w="702" w:type="dxa"/>
            <w:vAlign w:val="center"/>
          </w:tcPr>
          <w:p w14:paraId="3D93B22E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840" w:type="dxa"/>
            <w:vMerge/>
            <w:vAlign w:val="center"/>
          </w:tcPr>
          <w:p w14:paraId="66275584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9" w:type="dxa"/>
            <w:vAlign w:val="center"/>
          </w:tcPr>
          <w:p w14:paraId="0E089BB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身心健康與疾</w:t>
            </w:r>
          </w:p>
          <w:p w14:paraId="7B4BAC59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病預防</w:t>
            </w:r>
          </w:p>
        </w:tc>
        <w:tc>
          <w:tcPr>
            <w:tcW w:w="6520" w:type="dxa"/>
            <w:vAlign w:val="center"/>
          </w:tcPr>
          <w:p w14:paraId="211FDADB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健康心理、健康促進與疾病預防</w:t>
            </w:r>
          </w:p>
        </w:tc>
      </w:tr>
      <w:tr w:rsidR="00094222" w14:paraId="3EF6BE95" w14:textId="77777777" w:rsidTr="00017E29">
        <w:tc>
          <w:tcPr>
            <w:tcW w:w="702" w:type="dxa"/>
            <w:vAlign w:val="center"/>
          </w:tcPr>
          <w:p w14:paraId="6804A90B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7</w:t>
            </w:r>
          </w:p>
        </w:tc>
        <w:tc>
          <w:tcPr>
            <w:tcW w:w="840" w:type="dxa"/>
            <w:vMerge w:val="restart"/>
            <w:vAlign w:val="center"/>
          </w:tcPr>
          <w:p w14:paraId="15D5FA91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體育</w:t>
            </w:r>
          </w:p>
        </w:tc>
        <w:tc>
          <w:tcPr>
            <w:tcW w:w="2139" w:type="dxa"/>
            <w:vAlign w:val="center"/>
          </w:tcPr>
          <w:p w14:paraId="4CFA51E9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生長、發展與體適能</w:t>
            </w:r>
          </w:p>
        </w:tc>
        <w:tc>
          <w:tcPr>
            <w:tcW w:w="6520" w:type="dxa"/>
            <w:vAlign w:val="center"/>
          </w:tcPr>
          <w:p w14:paraId="3A252B31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體適能</w:t>
            </w:r>
          </w:p>
        </w:tc>
      </w:tr>
      <w:tr w:rsidR="00094222" w14:paraId="34469088" w14:textId="77777777" w:rsidTr="00017E29">
        <w:tc>
          <w:tcPr>
            <w:tcW w:w="702" w:type="dxa"/>
            <w:vAlign w:val="center"/>
          </w:tcPr>
          <w:p w14:paraId="1AFA346C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840" w:type="dxa"/>
            <w:vMerge/>
            <w:vAlign w:val="center"/>
          </w:tcPr>
          <w:p w14:paraId="0BB9C1FE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9" w:type="dxa"/>
            <w:vAlign w:val="center"/>
          </w:tcPr>
          <w:p w14:paraId="7053EDEF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安全生活與運動安全</w:t>
            </w:r>
          </w:p>
        </w:tc>
        <w:tc>
          <w:tcPr>
            <w:tcW w:w="6520" w:type="dxa"/>
            <w:vAlign w:val="center"/>
          </w:tcPr>
          <w:p w14:paraId="5EDBE0A9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運動傷害與防護、防衛性運動</w:t>
            </w:r>
          </w:p>
        </w:tc>
      </w:tr>
      <w:tr w:rsidR="00094222" w14:paraId="3EC0456F" w14:textId="77777777" w:rsidTr="00017E29">
        <w:tc>
          <w:tcPr>
            <w:tcW w:w="702" w:type="dxa"/>
            <w:vAlign w:val="center"/>
          </w:tcPr>
          <w:p w14:paraId="122382C8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840" w:type="dxa"/>
            <w:vMerge/>
            <w:vAlign w:val="center"/>
          </w:tcPr>
          <w:p w14:paraId="775CF02B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9" w:type="dxa"/>
            <w:vAlign w:val="center"/>
          </w:tcPr>
          <w:p w14:paraId="4376A6B2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群體健康與運動參與</w:t>
            </w:r>
          </w:p>
        </w:tc>
        <w:tc>
          <w:tcPr>
            <w:tcW w:w="6520" w:type="dxa"/>
            <w:vAlign w:val="center"/>
          </w:tcPr>
          <w:p w14:paraId="39E5C4EB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運動知識、水域休閒運動、戶外休閒運動、其他休閒運動</w:t>
            </w:r>
          </w:p>
        </w:tc>
      </w:tr>
      <w:tr w:rsidR="00094222" w14:paraId="421678B7" w14:textId="77777777" w:rsidTr="00017E29">
        <w:tc>
          <w:tcPr>
            <w:tcW w:w="702" w:type="dxa"/>
            <w:vAlign w:val="center"/>
          </w:tcPr>
          <w:p w14:paraId="713499E6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840" w:type="dxa"/>
            <w:vMerge/>
            <w:vAlign w:val="center"/>
          </w:tcPr>
          <w:p w14:paraId="0A00FFF3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9" w:type="dxa"/>
            <w:vAlign w:val="center"/>
          </w:tcPr>
          <w:p w14:paraId="6367B643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挑戰類型運動</w:t>
            </w:r>
          </w:p>
        </w:tc>
        <w:tc>
          <w:tcPr>
            <w:tcW w:w="6520" w:type="dxa"/>
            <w:vAlign w:val="center"/>
          </w:tcPr>
          <w:p w14:paraId="1CC80FE5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田徑、游泳</w:t>
            </w:r>
          </w:p>
        </w:tc>
      </w:tr>
      <w:tr w:rsidR="00094222" w14:paraId="312544C5" w14:textId="77777777" w:rsidTr="00017E29">
        <w:tc>
          <w:tcPr>
            <w:tcW w:w="702" w:type="dxa"/>
            <w:vAlign w:val="center"/>
          </w:tcPr>
          <w:p w14:paraId="7321EAFB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840" w:type="dxa"/>
            <w:vMerge/>
            <w:vAlign w:val="center"/>
          </w:tcPr>
          <w:p w14:paraId="77408B9A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9" w:type="dxa"/>
            <w:vAlign w:val="center"/>
          </w:tcPr>
          <w:p w14:paraId="02388CDC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競爭類型運動</w:t>
            </w:r>
          </w:p>
        </w:tc>
        <w:tc>
          <w:tcPr>
            <w:tcW w:w="6520" w:type="dxa"/>
            <w:vAlign w:val="center"/>
          </w:tcPr>
          <w:p w14:paraId="4E80756A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網/</w:t>
            </w:r>
            <w:proofErr w:type="gramStart"/>
            <w:r>
              <w:rPr>
                <w:rFonts w:ascii="標楷體" w:eastAsia="標楷體" w:hAnsi="標楷體" w:cs="標楷體"/>
              </w:rPr>
              <w:t>牆性球類</w:t>
            </w:r>
            <w:proofErr w:type="gramEnd"/>
            <w:r>
              <w:rPr>
                <w:rFonts w:ascii="標楷體" w:eastAsia="標楷體" w:hAnsi="標楷體" w:cs="標楷體"/>
              </w:rPr>
              <w:t>運動、陣地攻守性球類運動、標的性球類運動、守備/</w:t>
            </w:r>
            <w:proofErr w:type="gramStart"/>
            <w:r>
              <w:rPr>
                <w:rFonts w:ascii="標楷體" w:eastAsia="標楷體" w:hAnsi="標楷體" w:cs="標楷體"/>
              </w:rPr>
              <w:t>跑分性</w:t>
            </w:r>
            <w:proofErr w:type="gramEnd"/>
            <w:r>
              <w:rPr>
                <w:rFonts w:ascii="標楷體" w:eastAsia="標楷體" w:hAnsi="標楷體" w:cs="標楷體"/>
              </w:rPr>
              <w:t>球類運動</w:t>
            </w:r>
          </w:p>
        </w:tc>
      </w:tr>
      <w:tr w:rsidR="00094222" w14:paraId="6215AC4F" w14:textId="77777777" w:rsidTr="00017E29">
        <w:tc>
          <w:tcPr>
            <w:tcW w:w="702" w:type="dxa"/>
            <w:vAlign w:val="center"/>
          </w:tcPr>
          <w:p w14:paraId="7DCBFB33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840" w:type="dxa"/>
            <w:vMerge/>
            <w:vAlign w:val="center"/>
          </w:tcPr>
          <w:p w14:paraId="1570D83A" w14:textId="77777777" w:rsidR="00094222" w:rsidRDefault="00094222" w:rsidP="0001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39" w:type="dxa"/>
            <w:vAlign w:val="center"/>
          </w:tcPr>
          <w:p w14:paraId="2523F6EC" w14:textId="77777777" w:rsidR="00094222" w:rsidRDefault="00094222" w:rsidP="00017E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表現類型運動</w:t>
            </w:r>
          </w:p>
        </w:tc>
        <w:tc>
          <w:tcPr>
            <w:tcW w:w="6520" w:type="dxa"/>
            <w:vAlign w:val="center"/>
          </w:tcPr>
          <w:p w14:paraId="6FC48B02" w14:textId="77777777" w:rsidR="00094222" w:rsidRDefault="00094222" w:rsidP="00017E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體操、舞蹈、民俗運動</w:t>
            </w:r>
          </w:p>
        </w:tc>
      </w:tr>
    </w:tbl>
    <w:p w14:paraId="748031C8" w14:textId="77777777" w:rsidR="00094222" w:rsidRDefault="00094222" w:rsidP="00094222">
      <w:pPr>
        <w:widowControl/>
        <w:rPr>
          <w:rFonts w:ascii="標楷體" w:eastAsia="標楷體" w:hAnsi="標楷體" w:cs="標楷體"/>
        </w:rPr>
      </w:pPr>
    </w:p>
    <w:p w14:paraId="7502B2C0" w14:textId="77777777" w:rsidR="00094222" w:rsidRDefault="00094222" w:rsidP="00094222">
      <w:pPr>
        <w:spacing w:line="480" w:lineRule="auto"/>
        <w:rPr>
          <w:rFonts w:ascii="標楷體" w:eastAsia="標楷體" w:hAnsi="標楷體" w:cs="標楷體"/>
          <w:color w:val="000000"/>
        </w:rPr>
      </w:pPr>
    </w:p>
    <w:p w14:paraId="03905B93" w14:textId="77777777" w:rsidR="00094222" w:rsidRPr="00957740" w:rsidRDefault="00094222" w:rsidP="00094222">
      <w:pPr>
        <w:widowControl/>
        <w:rPr>
          <w:rFonts w:ascii="標楷體" w:eastAsia="標楷體" w:hAnsi="標楷體" w:cs="標楷體"/>
        </w:rPr>
      </w:pPr>
    </w:p>
    <w:p w14:paraId="5415D890" w14:textId="77777777" w:rsidR="00DD7C1B" w:rsidRPr="00094222" w:rsidRDefault="00DD7C1B" w:rsidP="00DD7C1B">
      <w:pPr>
        <w:spacing w:line="360" w:lineRule="auto"/>
        <w:rPr>
          <w:rFonts w:ascii="標楷體" w:eastAsia="標楷體" w:hAnsi="標楷體" w:cs="標楷體"/>
        </w:rPr>
      </w:pPr>
    </w:p>
    <w:sectPr w:rsidR="00DD7C1B" w:rsidRPr="00094222" w:rsidSect="00DD7C1B">
      <w:footerReference w:type="default" r:id="rId9"/>
      <w:pgSz w:w="11906" w:h="16838"/>
      <w:pgMar w:top="1418" w:right="1418" w:bottom="1418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A6DC8" w14:textId="77777777" w:rsidR="00B72CDB" w:rsidRDefault="00B72CDB">
      <w:r>
        <w:separator/>
      </w:r>
    </w:p>
  </w:endnote>
  <w:endnote w:type="continuationSeparator" w:id="0">
    <w:p w14:paraId="71305550" w14:textId="77777777" w:rsidR="00B72CDB" w:rsidRDefault="00B7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397BE" w14:textId="77777777" w:rsidR="00957740" w:rsidRDefault="0095774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BF7A4" w14:textId="77777777" w:rsidR="00B72CDB" w:rsidRDefault="00B72CDB">
      <w:r>
        <w:separator/>
      </w:r>
    </w:p>
  </w:footnote>
  <w:footnote w:type="continuationSeparator" w:id="0">
    <w:p w14:paraId="4583BFB7" w14:textId="77777777" w:rsidR="00B72CDB" w:rsidRDefault="00B72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81D65"/>
    <w:multiLevelType w:val="multilevel"/>
    <w:tmpl w:val="C2445234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decimal"/>
      <w:lvlText w:val="%2、"/>
      <w:lvlJc w:val="left"/>
      <w:pPr>
        <w:ind w:left="1356" w:hanging="480"/>
      </w:pPr>
    </w:lvl>
    <w:lvl w:ilvl="2">
      <w:start w:val="1"/>
      <w:numFmt w:val="lowerRoman"/>
      <w:lvlText w:val="%3."/>
      <w:lvlJc w:val="right"/>
      <w:pPr>
        <w:ind w:left="1836" w:hanging="480"/>
      </w:pPr>
    </w:lvl>
    <w:lvl w:ilvl="3">
      <w:start w:val="1"/>
      <w:numFmt w:val="decimal"/>
      <w:lvlText w:val="%4."/>
      <w:lvlJc w:val="left"/>
      <w:pPr>
        <w:ind w:left="2316" w:hanging="480"/>
      </w:pPr>
    </w:lvl>
    <w:lvl w:ilvl="4">
      <w:start w:val="1"/>
      <w:numFmt w:val="decimal"/>
      <w:lvlText w:val="%5、"/>
      <w:lvlJc w:val="left"/>
      <w:pPr>
        <w:ind w:left="2796" w:hanging="480"/>
      </w:pPr>
    </w:lvl>
    <w:lvl w:ilvl="5">
      <w:start w:val="1"/>
      <w:numFmt w:val="lowerRoman"/>
      <w:lvlText w:val="%6."/>
      <w:lvlJc w:val="right"/>
      <w:pPr>
        <w:ind w:left="3276" w:hanging="480"/>
      </w:pPr>
    </w:lvl>
    <w:lvl w:ilvl="6">
      <w:start w:val="1"/>
      <w:numFmt w:val="decimal"/>
      <w:lvlText w:val="%7."/>
      <w:lvlJc w:val="left"/>
      <w:pPr>
        <w:ind w:left="3756" w:hanging="480"/>
      </w:pPr>
    </w:lvl>
    <w:lvl w:ilvl="7">
      <w:start w:val="1"/>
      <w:numFmt w:val="decimal"/>
      <w:lvlText w:val="%8、"/>
      <w:lvlJc w:val="left"/>
      <w:pPr>
        <w:ind w:left="4236" w:hanging="480"/>
      </w:pPr>
    </w:lvl>
    <w:lvl w:ilvl="8">
      <w:start w:val="1"/>
      <w:numFmt w:val="lowerRoman"/>
      <w:lvlText w:val="%9."/>
      <w:lvlJc w:val="right"/>
      <w:pPr>
        <w:ind w:left="4716" w:hanging="480"/>
      </w:pPr>
    </w:lvl>
  </w:abstractNum>
  <w:abstractNum w:abstractNumId="1" w15:restartNumberingAfterBreak="0">
    <w:nsid w:val="2C143BD6"/>
    <w:multiLevelType w:val="multilevel"/>
    <w:tmpl w:val="8E1689C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0B1A41"/>
    <w:multiLevelType w:val="hybridMultilevel"/>
    <w:tmpl w:val="BEAE9ED8"/>
    <w:lvl w:ilvl="0" w:tplc="CCC2E2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666164"/>
    <w:multiLevelType w:val="multilevel"/>
    <w:tmpl w:val="06FAF4C0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C2"/>
    <w:rsid w:val="00094222"/>
    <w:rsid w:val="000A6194"/>
    <w:rsid w:val="004465BD"/>
    <w:rsid w:val="00463EB2"/>
    <w:rsid w:val="00491566"/>
    <w:rsid w:val="004D1F87"/>
    <w:rsid w:val="005D0BC2"/>
    <w:rsid w:val="007A0DB5"/>
    <w:rsid w:val="007B26B0"/>
    <w:rsid w:val="00957740"/>
    <w:rsid w:val="00A846D2"/>
    <w:rsid w:val="00B40526"/>
    <w:rsid w:val="00B72CDB"/>
    <w:rsid w:val="00B903BC"/>
    <w:rsid w:val="00BE4880"/>
    <w:rsid w:val="00CD2870"/>
    <w:rsid w:val="00DD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27CB7"/>
  <w15:docId w15:val="{A7C481D4-0B33-4538-A1B8-2EE6EE72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4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C86E8F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31E43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6">
    <w:name w:val="Table Grid"/>
    <w:basedOn w:val="a1"/>
    <w:uiPriority w:val="39"/>
    <w:rsid w:val="0033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2427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24277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F144C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144CD"/>
  </w:style>
  <w:style w:type="character" w:customStyle="1" w:styleId="ad">
    <w:name w:val="註解文字 字元"/>
    <w:basedOn w:val="a0"/>
    <w:link w:val="ac"/>
    <w:uiPriority w:val="99"/>
    <w:rsid w:val="00F144CD"/>
  </w:style>
  <w:style w:type="paragraph" w:styleId="ae">
    <w:name w:val="annotation subject"/>
    <w:basedOn w:val="ac"/>
    <w:next w:val="ac"/>
    <w:link w:val="af"/>
    <w:uiPriority w:val="99"/>
    <w:semiHidden/>
    <w:unhideWhenUsed/>
    <w:rsid w:val="00F144C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144C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EF142A"/>
    <w:rPr>
      <w:color w:val="0563C1" w:themeColor="hyperlink"/>
      <w:u w:val="single"/>
    </w:rPr>
  </w:style>
  <w:style w:type="character" w:styleId="af3">
    <w:name w:val="Placeholder Text"/>
    <w:basedOn w:val="a0"/>
    <w:uiPriority w:val="99"/>
    <w:semiHidden/>
    <w:rsid w:val="005D2D3B"/>
    <w:rPr>
      <w:color w:val="808080"/>
    </w:rPr>
  </w:style>
  <w:style w:type="character" w:customStyle="1" w:styleId="a5">
    <w:name w:val="清單段落 字元"/>
    <w:link w:val="a4"/>
    <w:uiPriority w:val="34"/>
    <w:locked/>
    <w:rsid w:val="008775DF"/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pL3+Kolh9c/qkI6nJoe/wddIOQ==">AMUW2mXOoSgXXud0YfH16YbJ+kKp1D6LQrVBwah/ovdpO6hc8PpjQERXnpJRH2PScWvLkmlCDodySF+3Q2dvlMG36buQlX8NhflYsDRNFMhkPl9iHgAdByYkWmSDMNEFY9o3DBTX3tAQ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F8D1094-3040-4486-8B82-27BB2F79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2022-09-27T01:57:00Z</dcterms:created>
  <dcterms:modified xsi:type="dcterms:W3CDTF">2022-09-27T01:57:00Z</dcterms:modified>
</cp:coreProperties>
</file>